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3DD4A">
      <w:pPr>
        <w:keepNext/>
        <w:keepLines/>
        <w:pageBreakBefore/>
        <w:widowControl w:val="0"/>
        <w:overflowPunct w:val="0"/>
        <w:adjustRightInd w:val="0"/>
        <w:snapToGrid w:val="0"/>
        <w:spacing w:before="340" w:after="330"/>
        <w:ind w:firstLine="883"/>
        <w:jc w:val="center"/>
        <w:outlineLvl w:val="0"/>
        <w:rPr>
          <w:rFonts w:ascii="宋体" w:hAnsi="宋体" w:eastAsia="宋体" w:cs="Times New Roman"/>
          <w:b/>
          <w:color w:val="000000"/>
          <w:kern w:val="0"/>
          <w:sz w:val="44"/>
          <w:szCs w:val="44"/>
          <w:lang w:val="zh-CN" w:eastAsia="zh-CN" w:bidi="ar-SA"/>
        </w:rPr>
      </w:pPr>
      <w:bookmarkStart w:id="4" w:name="_GoBack"/>
      <w:bookmarkStart w:id="0" w:name="_Toc55910838"/>
      <w:bookmarkStart w:id="1" w:name="_Toc491075846"/>
      <w:r>
        <w:rPr>
          <w:rFonts w:hint="eastAsia" w:ascii="宋体" w:hAnsi="宋体" w:eastAsia="宋体" w:cs="Times New Roman"/>
          <w:b/>
          <w:color w:val="000000"/>
          <w:kern w:val="0"/>
          <w:sz w:val="44"/>
          <w:szCs w:val="44"/>
          <w:lang w:val="zh-CN" w:eastAsia="zh-CN" w:bidi="ar-SA"/>
        </w:rPr>
        <w:t>评标办法</w:t>
      </w:r>
      <w:bookmarkEnd w:id="4"/>
      <w:r>
        <w:rPr>
          <w:rFonts w:hint="eastAsia" w:ascii="宋体" w:hAnsi="宋体" w:eastAsia="宋体" w:cs="Times New Roman"/>
          <w:b/>
          <w:color w:val="000000"/>
          <w:kern w:val="0"/>
          <w:sz w:val="44"/>
          <w:szCs w:val="44"/>
          <w:lang w:val="zh-CN" w:eastAsia="zh-CN" w:bidi="ar-SA"/>
        </w:rPr>
        <w:t>（综合评估法_一次性汇总）</w:t>
      </w:r>
      <w:bookmarkEnd w:id="0"/>
      <w:bookmarkEnd w:id="1"/>
    </w:p>
    <w:p w14:paraId="78182D24">
      <w:pPr>
        <w:widowControl w:val="0"/>
        <w:spacing w:line="600" w:lineRule="exact"/>
        <w:ind w:firstLine="643"/>
        <w:contextualSpacing/>
        <w:jc w:val="center"/>
        <w:outlineLvl w:val="1"/>
        <w:rPr>
          <w:rFonts w:ascii="宋体" w:hAnsi="宋体" w:eastAsia="宋体" w:cs="Times New Roman"/>
          <w:b/>
          <w:bCs/>
          <w:color w:val="000000"/>
          <w:kern w:val="2"/>
          <w:sz w:val="28"/>
          <w:szCs w:val="28"/>
          <w:lang w:val="zh-CN" w:eastAsia="zh-CN" w:bidi="ar-SA"/>
        </w:rPr>
      </w:pPr>
      <w:bookmarkStart w:id="2" w:name="_Toc55910839"/>
      <w:bookmarkStart w:id="3" w:name="_Toc491075847"/>
      <w:r>
        <w:rPr>
          <w:rFonts w:hint="eastAsia" w:ascii="宋体" w:hAnsi="宋体" w:eastAsia="宋体" w:cs="Times New Roman"/>
          <w:b/>
          <w:bCs/>
          <w:color w:val="000000"/>
          <w:kern w:val="2"/>
          <w:sz w:val="28"/>
          <w:szCs w:val="28"/>
          <w:lang w:val="zh-CN" w:eastAsia="zh-CN" w:bidi="ar-SA"/>
        </w:rPr>
        <w:t>评标办法前附表</w:t>
      </w:r>
      <w:bookmarkEnd w:id="2"/>
      <w:bookmarkEnd w:id="3"/>
    </w:p>
    <w:tbl>
      <w:tblPr>
        <w:tblStyle w:val="5"/>
        <w:tblW w:w="13535"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1073"/>
        <w:gridCol w:w="1484"/>
        <w:gridCol w:w="3501"/>
        <w:gridCol w:w="1164"/>
        <w:gridCol w:w="6313"/>
      </w:tblGrid>
      <w:tr w14:paraId="301CAA5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2557" w:type="dxa"/>
            <w:gridSpan w:val="2"/>
            <w:tcBorders>
              <w:top w:val="outset" w:color="auto" w:sz="6" w:space="0"/>
              <w:left w:val="outset" w:color="auto" w:sz="6" w:space="0"/>
              <w:bottom w:val="outset" w:color="auto" w:sz="6" w:space="0"/>
              <w:right w:val="outset" w:color="auto" w:sz="6" w:space="0"/>
            </w:tcBorders>
            <w:vAlign w:val="center"/>
          </w:tcPr>
          <w:p w14:paraId="5B6A63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条款号</w:t>
            </w: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5B9DF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评审因素</w:t>
            </w:r>
          </w:p>
        </w:tc>
        <w:tc>
          <w:tcPr>
            <w:tcW w:w="6313" w:type="dxa"/>
            <w:tcBorders>
              <w:top w:val="outset" w:color="auto" w:sz="6" w:space="0"/>
              <w:left w:val="outset" w:color="auto" w:sz="6" w:space="0"/>
              <w:bottom w:val="outset" w:color="auto" w:sz="6" w:space="0"/>
              <w:right w:val="outset" w:color="auto" w:sz="6" w:space="0"/>
            </w:tcBorders>
            <w:vAlign w:val="center"/>
          </w:tcPr>
          <w:p w14:paraId="6307CC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评审标准</w:t>
            </w:r>
          </w:p>
        </w:tc>
      </w:tr>
      <w:tr w14:paraId="70176D7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restart"/>
            <w:tcBorders>
              <w:top w:val="outset" w:color="auto" w:sz="6" w:space="0"/>
              <w:left w:val="outset" w:color="auto" w:sz="6" w:space="0"/>
              <w:right w:val="outset" w:color="auto" w:sz="6" w:space="0"/>
            </w:tcBorders>
            <w:vAlign w:val="center"/>
          </w:tcPr>
          <w:p w14:paraId="39C466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2.1.1</w:t>
            </w:r>
          </w:p>
        </w:tc>
        <w:tc>
          <w:tcPr>
            <w:tcW w:w="1484" w:type="dxa"/>
            <w:vMerge w:val="restart"/>
            <w:tcBorders>
              <w:top w:val="outset" w:color="auto" w:sz="6" w:space="0"/>
              <w:left w:val="outset" w:color="auto" w:sz="6" w:space="0"/>
              <w:right w:val="outset" w:color="auto" w:sz="6" w:space="0"/>
            </w:tcBorders>
            <w:vAlign w:val="center"/>
          </w:tcPr>
          <w:p w14:paraId="272B1E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color w:val="000000"/>
              </w:rPr>
            </w:pPr>
            <w:r>
              <w:rPr>
                <w:rFonts w:hint="eastAsia" w:ascii="宋体" w:hAnsi="宋体" w:eastAsia="宋体" w:cs="宋体"/>
                <w:color w:val="000000"/>
              </w:rPr>
              <w:t>形式评审标准</w:t>
            </w: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232C7D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投标文件</w:t>
            </w:r>
          </w:p>
        </w:tc>
        <w:tc>
          <w:tcPr>
            <w:tcW w:w="6313" w:type="dxa"/>
            <w:tcBorders>
              <w:top w:val="outset" w:color="auto" w:sz="6" w:space="0"/>
              <w:left w:val="outset" w:color="auto" w:sz="6" w:space="0"/>
              <w:bottom w:val="outset" w:color="auto" w:sz="6" w:space="0"/>
              <w:right w:val="outset" w:color="auto" w:sz="6" w:space="0"/>
            </w:tcBorders>
            <w:vAlign w:val="center"/>
          </w:tcPr>
          <w:p w14:paraId="2495A6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投标文件能正常打开</w:t>
            </w:r>
          </w:p>
        </w:tc>
      </w:tr>
      <w:tr w14:paraId="1124626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5A8A5B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53BF93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41A319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投标人名称</w:t>
            </w:r>
          </w:p>
        </w:tc>
        <w:tc>
          <w:tcPr>
            <w:tcW w:w="6313" w:type="dxa"/>
            <w:tcBorders>
              <w:top w:val="outset" w:color="auto" w:sz="6" w:space="0"/>
              <w:left w:val="outset" w:color="auto" w:sz="6" w:space="0"/>
              <w:bottom w:val="outset" w:color="auto" w:sz="6" w:space="0"/>
              <w:right w:val="outset" w:color="auto" w:sz="6" w:space="0"/>
            </w:tcBorders>
            <w:vAlign w:val="center"/>
          </w:tcPr>
          <w:p w14:paraId="398510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投标人名称与营业执照、资质证书、安全生产许可证一致</w:t>
            </w:r>
          </w:p>
        </w:tc>
      </w:tr>
      <w:tr w14:paraId="5366251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2F674E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00F553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5165F0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投标文件的制作与盖章、签字</w:t>
            </w:r>
          </w:p>
        </w:tc>
        <w:tc>
          <w:tcPr>
            <w:tcW w:w="6313" w:type="dxa"/>
            <w:tcBorders>
              <w:top w:val="outset" w:color="auto" w:sz="6" w:space="0"/>
              <w:left w:val="outset" w:color="auto" w:sz="6" w:space="0"/>
              <w:bottom w:val="outset" w:color="auto" w:sz="6" w:space="0"/>
              <w:right w:val="outset" w:color="auto" w:sz="6" w:space="0"/>
            </w:tcBorders>
            <w:vAlign w:val="center"/>
          </w:tcPr>
          <w:p w14:paraId="4520CD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符合第二章“投标人须知”第3.6.3项规定</w:t>
            </w:r>
          </w:p>
        </w:tc>
      </w:tr>
      <w:tr w14:paraId="46E1A52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6353A8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687CD1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4949AD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投标文件格式</w:t>
            </w:r>
            <w:r>
              <w:rPr>
                <w:rFonts w:hint="eastAsia" w:ascii="宋体" w:hAnsi="宋体" w:eastAsia="宋体" w:cs="宋体"/>
                <w:color w:val="000000"/>
                <w:szCs w:val="21"/>
              </w:rPr>
              <w:t>、内容</w:t>
            </w:r>
          </w:p>
        </w:tc>
        <w:tc>
          <w:tcPr>
            <w:tcW w:w="6313" w:type="dxa"/>
            <w:tcBorders>
              <w:top w:val="outset" w:color="auto" w:sz="6" w:space="0"/>
              <w:left w:val="outset" w:color="auto" w:sz="6" w:space="0"/>
              <w:bottom w:val="outset" w:color="auto" w:sz="6" w:space="0"/>
              <w:right w:val="outset" w:color="auto" w:sz="6" w:space="0"/>
            </w:tcBorders>
            <w:vAlign w:val="center"/>
          </w:tcPr>
          <w:p w14:paraId="0964F5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符合第七章“投标文件格式”的要求，</w:t>
            </w:r>
            <w:r>
              <w:rPr>
                <w:rFonts w:hint="eastAsia" w:ascii="宋体" w:hAnsi="宋体" w:eastAsia="宋体" w:cs="宋体"/>
                <w:color w:val="000000"/>
                <w:szCs w:val="21"/>
              </w:rPr>
              <w:t>实质性内容齐全、关键字迹清晰可辨</w:t>
            </w:r>
          </w:p>
        </w:tc>
      </w:tr>
      <w:tr w14:paraId="6B1DE23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4C1460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7824CD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66ECD8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联合体投标人（如有）</w:t>
            </w:r>
          </w:p>
        </w:tc>
        <w:tc>
          <w:tcPr>
            <w:tcW w:w="6313" w:type="dxa"/>
            <w:tcBorders>
              <w:top w:val="outset" w:color="auto" w:sz="6" w:space="0"/>
              <w:left w:val="outset" w:color="auto" w:sz="6" w:space="0"/>
              <w:bottom w:val="outset" w:color="auto" w:sz="6" w:space="0"/>
              <w:right w:val="outset" w:color="auto" w:sz="6" w:space="0"/>
            </w:tcBorders>
            <w:vAlign w:val="center"/>
          </w:tcPr>
          <w:p w14:paraId="12BB96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提交联合体协议书，并明确联合体牵头人</w:t>
            </w:r>
          </w:p>
        </w:tc>
      </w:tr>
      <w:tr w14:paraId="115B111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6AF537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415F6C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0CE5A9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报价唯一</w:t>
            </w:r>
          </w:p>
        </w:tc>
        <w:tc>
          <w:tcPr>
            <w:tcW w:w="6313" w:type="dxa"/>
            <w:tcBorders>
              <w:top w:val="outset" w:color="auto" w:sz="6" w:space="0"/>
              <w:left w:val="outset" w:color="auto" w:sz="6" w:space="0"/>
              <w:bottom w:val="outset" w:color="auto" w:sz="6" w:space="0"/>
              <w:right w:val="outset" w:color="auto" w:sz="6" w:space="0"/>
            </w:tcBorders>
            <w:vAlign w:val="center"/>
          </w:tcPr>
          <w:p w14:paraId="1A64D3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只能有一个有效报价</w:t>
            </w:r>
            <w:r>
              <w:rPr>
                <w:rFonts w:hint="eastAsia" w:ascii="宋体" w:hAnsi="宋体" w:eastAsia="宋体" w:cs="宋体"/>
                <w:color w:val="000000"/>
                <w:szCs w:val="21"/>
              </w:rPr>
              <w:t>（指投标函中的大写报价）</w:t>
            </w:r>
          </w:p>
        </w:tc>
      </w:tr>
      <w:tr w14:paraId="4A98230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48493C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0B45CA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47292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多标段（包）投标</w:t>
            </w:r>
          </w:p>
        </w:tc>
        <w:tc>
          <w:tcPr>
            <w:tcW w:w="6313" w:type="dxa"/>
            <w:tcBorders>
              <w:top w:val="outset" w:color="auto" w:sz="6" w:space="0"/>
              <w:left w:val="outset" w:color="auto" w:sz="6" w:space="0"/>
              <w:bottom w:val="outset" w:color="auto" w:sz="6" w:space="0"/>
              <w:right w:val="outset" w:color="auto" w:sz="6" w:space="0"/>
            </w:tcBorders>
            <w:vAlign w:val="center"/>
          </w:tcPr>
          <w:p w14:paraId="2C0146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符合第二章“投标人须知”第10.1款规定</w:t>
            </w:r>
          </w:p>
        </w:tc>
      </w:tr>
      <w:tr w14:paraId="6E0AD1E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right w:val="outset" w:color="auto" w:sz="6" w:space="0"/>
            </w:tcBorders>
            <w:vAlign w:val="center"/>
          </w:tcPr>
          <w:p w14:paraId="5BC603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right w:val="outset" w:color="auto" w:sz="6" w:space="0"/>
            </w:tcBorders>
            <w:vAlign w:val="center"/>
          </w:tcPr>
          <w:p w14:paraId="5EC665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5541B0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szCs w:val="21"/>
              </w:rPr>
              <w:t>“技术暗标”（如有）</w:t>
            </w:r>
          </w:p>
        </w:tc>
        <w:tc>
          <w:tcPr>
            <w:tcW w:w="6313" w:type="dxa"/>
            <w:tcBorders>
              <w:top w:val="outset" w:color="auto" w:sz="6" w:space="0"/>
              <w:left w:val="outset" w:color="auto" w:sz="6" w:space="0"/>
              <w:bottom w:val="outset" w:color="auto" w:sz="6" w:space="0"/>
              <w:right w:val="outset" w:color="auto" w:sz="6" w:space="0"/>
            </w:tcBorders>
            <w:vAlign w:val="center"/>
          </w:tcPr>
          <w:p w14:paraId="239BC4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w:t>
            </w:r>
            <w:r>
              <w:rPr>
                <w:rFonts w:hint="eastAsia" w:ascii="宋体" w:hAnsi="宋体" w:eastAsia="宋体" w:cs="宋体"/>
                <w:color w:val="000000"/>
                <w:szCs w:val="21"/>
              </w:rPr>
              <w:t xml:space="preserve"> 第</w:t>
            </w:r>
            <w:r>
              <w:rPr>
                <w:rFonts w:hint="eastAsia" w:ascii="宋体" w:hAnsi="宋体" w:eastAsia="宋体" w:cs="宋体"/>
                <w:color w:val="000000"/>
              </w:rPr>
              <w:t>3.6.5项规定</w:t>
            </w:r>
          </w:p>
        </w:tc>
      </w:tr>
      <w:tr w14:paraId="6A9E6B2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bottom w:val="outset" w:color="auto" w:sz="6" w:space="0"/>
              <w:right w:val="outset" w:color="auto" w:sz="6" w:space="0"/>
            </w:tcBorders>
            <w:vAlign w:val="center"/>
          </w:tcPr>
          <w:p w14:paraId="5BD3C1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bottom w:val="outset" w:color="auto" w:sz="6" w:space="0"/>
              <w:right w:val="outset" w:color="auto" w:sz="6" w:space="0"/>
            </w:tcBorders>
            <w:vAlign w:val="center"/>
          </w:tcPr>
          <w:p w14:paraId="11713F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70BBE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投标人身份</w:t>
            </w:r>
          </w:p>
        </w:tc>
        <w:tc>
          <w:tcPr>
            <w:tcW w:w="6313" w:type="dxa"/>
            <w:tcBorders>
              <w:top w:val="outset" w:color="auto" w:sz="6" w:space="0"/>
              <w:left w:val="outset" w:color="auto" w:sz="6" w:space="0"/>
              <w:bottom w:val="outset" w:color="auto" w:sz="6" w:space="0"/>
              <w:right w:val="outset" w:color="auto" w:sz="6" w:space="0"/>
            </w:tcBorders>
            <w:vAlign w:val="center"/>
          </w:tcPr>
          <w:p w14:paraId="6C0C69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不存在第二章“投标人须知”第1.4.3项规定的情形</w:t>
            </w:r>
          </w:p>
        </w:tc>
      </w:tr>
      <w:tr w14:paraId="671C229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left w:val="outset" w:color="auto" w:sz="6" w:space="0"/>
              <w:bottom w:val="outset" w:color="auto" w:sz="6" w:space="0"/>
              <w:right w:val="outset" w:color="auto" w:sz="6" w:space="0"/>
            </w:tcBorders>
            <w:vAlign w:val="center"/>
          </w:tcPr>
          <w:p w14:paraId="7E784A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left w:val="outset" w:color="auto" w:sz="6" w:space="0"/>
              <w:bottom w:val="outset" w:color="auto" w:sz="6" w:space="0"/>
              <w:right w:val="outset" w:color="auto" w:sz="6" w:space="0"/>
            </w:tcBorders>
            <w:vAlign w:val="center"/>
          </w:tcPr>
          <w:p w14:paraId="1036D5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E321A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利益冲突</w:t>
            </w:r>
          </w:p>
        </w:tc>
        <w:tc>
          <w:tcPr>
            <w:tcW w:w="6313" w:type="dxa"/>
            <w:tcBorders>
              <w:top w:val="outset" w:color="auto" w:sz="6" w:space="0"/>
              <w:left w:val="outset" w:color="auto" w:sz="6" w:space="0"/>
              <w:bottom w:val="outset" w:color="auto" w:sz="6" w:space="0"/>
              <w:right w:val="outset" w:color="auto" w:sz="6" w:space="0"/>
            </w:tcBorders>
            <w:vAlign w:val="center"/>
          </w:tcPr>
          <w:p w14:paraId="6C186E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不存在第二章“投标人须知”第1.4.4项规定的情形</w:t>
            </w:r>
          </w:p>
        </w:tc>
      </w:tr>
      <w:tr w14:paraId="6697B8A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restart"/>
            <w:tcBorders>
              <w:top w:val="outset" w:color="auto" w:sz="6" w:space="0"/>
              <w:left w:val="outset" w:color="auto" w:sz="6" w:space="0"/>
              <w:bottom w:val="outset" w:color="auto" w:sz="6" w:space="0"/>
              <w:right w:val="outset" w:color="auto" w:sz="6" w:space="0"/>
            </w:tcBorders>
            <w:vAlign w:val="center"/>
          </w:tcPr>
          <w:p w14:paraId="679DC1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2.1.2</w:t>
            </w:r>
          </w:p>
        </w:tc>
        <w:tc>
          <w:tcPr>
            <w:tcW w:w="1484" w:type="dxa"/>
            <w:vMerge w:val="restart"/>
            <w:tcBorders>
              <w:top w:val="outset" w:color="auto" w:sz="6" w:space="0"/>
              <w:left w:val="outset" w:color="auto" w:sz="6" w:space="0"/>
              <w:bottom w:val="outset" w:color="auto" w:sz="6" w:space="0"/>
              <w:right w:val="outset" w:color="auto" w:sz="6" w:space="0"/>
            </w:tcBorders>
            <w:vAlign w:val="center"/>
          </w:tcPr>
          <w:p w14:paraId="1586DF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color w:val="000000"/>
              </w:rPr>
            </w:pPr>
            <w:r>
              <w:rPr>
                <w:rFonts w:hint="eastAsia" w:ascii="宋体" w:hAnsi="宋体" w:eastAsia="宋体" w:cs="宋体"/>
                <w:color w:val="000000"/>
              </w:rPr>
              <w:t>资格评审标准</w:t>
            </w:r>
          </w:p>
          <w:p w14:paraId="4A9C92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（适用于资格后审或者投标人资格条件发生变化）</w:t>
            </w: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3C0481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营业执照</w:t>
            </w:r>
          </w:p>
        </w:tc>
        <w:tc>
          <w:tcPr>
            <w:tcW w:w="6313" w:type="dxa"/>
            <w:tcBorders>
              <w:top w:val="outset" w:color="auto" w:sz="6" w:space="0"/>
              <w:left w:val="outset" w:color="auto" w:sz="6" w:space="0"/>
              <w:bottom w:val="outset" w:color="auto" w:sz="6" w:space="0"/>
              <w:right w:val="outset" w:color="auto" w:sz="6" w:space="0"/>
            </w:tcBorders>
            <w:vAlign w:val="center"/>
          </w:tcPr>
          <w:p w14:paraId="379781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具备有效的营业执照</w:t>
            </w:r>
          </w:p>
        </w:tc>
      </w:tr>
      <w:tr w14:paraId="01CB910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2B40E1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08C058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E2828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资格条件</w:t>
            </w:r>
          </w:p>
        </w:tc>
        <w:tc>
          <w:tcPr>
            <w:tcW w:w="6313" w:type="dxa"/>
            <w:tcBorders>
              <w:top w:val="outset" w:color="auto" w:sz="6" w:space="0"/>
              <w:left w:val="outset" w:color="auto" w:sz="6" w:space="0"/>
              <w:bottom w:val="outset" w:color="auto" w:sz="6" w:space="0"/>
              <w:right w:val="outset" w:color="auto" w:sz="6" w:space="0"/>
            </w:tcBorders>
            <w:vAlign w:val="center"/>
          </w:tcPr>
          <w:p w14:paraId="4DC9FA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符合第二章“投标人须知”第1.4.1项规定</w:t>
            </w:r>
          </w:p>
        </w:tc>
      </w:tr>
      <w:tr w14:paraId="5B00089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0832D1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5824B8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6736E8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能力</w:t>
            </w:r>
          </w:p>
        </w:tc>
        <w:tc>
          <w:tcPr>
            <w:tcW w:w="6313" w:type="dxa"/>
            <w:tcBorders>
              <w:top w:val="outset" w:color="auto" w:sz="6" w:space="0"/>
              <w:left w:val="outset" w:color="auto" w:sz="6" w:space="0"/>
              <w:bottom w:val="outset" w:color="auto" w:sz="6" w:space="0"/>
              <w:right w:val="outset" w:color="auto" w:sz="6" w:space="0"/>
            </w:tcBorders>
            <w:vAlign w:val="center"/>
          </w:tcPr>
          <w:p w14:paraId="51B6BF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符合第二章“投标人须知”第1.4.1项规定</w:t>
            </w:r>
          </w:p>
        </w:tc>
      </w:tr>
      <w:tr w14:paraId="654EA85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2236F7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45BAF0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4A6A1C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信誉</w:t>
            </w:r>
          </w:p>
        </w:tc>
        <w:tc>
          <w:tcPr>
            <w:tcW w:w="6313" w:type="dxa"/>
            <w:tcBorders>
              <w:top w:val="outset" w:color="auto" w:sz="6" w:space="0"/>
              <w:left w:val="outset" w:color="auto" w:sz="6" w:space="0"/>
              <w:bottom w:val="outset" w:color="auto" w:sz="6" w:space="0"/>
              <w:right w:val="outset" w:color="auto" w:sz="6" w:space="0"/>
            </w:tcBorders>
            <w:vAlign w:val="center"/>
          </w:tcPr>
          <w:p w14:paraId="703678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符合第二章“投标人须知”第1.4.1项规定</w:t>
            </w:r>
          </w:p>
        </w:tc>
      </w:tr>
      <w:tr w14:paraId="731FB14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3CEA54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18F89F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3BF05E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联合体投标人（如有）</w:t>
            </w:r>
          </w:p>
        </w:tc>
        <w:tc>
          <w:tcPr>
            <w:tcW w:w="6313" w:type="dxa"/>
            <w:tcBorders>
              <w:top w:val="outset" w:color="auto" w:sz="6" w:space="0"/>
              <w:left w:val="outset" w:color="auto" w:sz="6" w:space="0"/>
              <w:bottom w:val="outset" w:color="auto" w:sz="6" w:space="0"/>
              <w:right w:val="outset" w:color="auto" w:sz="6" w:space="0"/>
            </w:tcBorders>
            <w:vAlign w:val="center"/>
          </w:tcPr>
          <w:p w14:paraId="366B11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符合第二章“投标人须知”第1.4.2项规定</w:t>
            </w:r>
          </w:p>
        </w:tc>
      </w:tr>
      <w:tr w14:paraId="586D426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restart"/>
            <w:tcBorders>
              <w:top w:val="outset" w:color="auto" w:sz="6" w:space="0"/>
              <w:left w:val="outset" w:color="auto" w:sz="6" w:space="0"/>
              <w:bottom w:val="outset" w:color="auto" w:sz="6" w:space="0"/>
              <w:right w:val="outset" w:color="auto" w:sz="6" w:space="0"/>
            </w:tcBorders>
            <w:vAlign w:val="center"/>
          </w:tcPr>
          <w:p w14:paraId="7B74EC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2.1.3</w:t>
            </w:r>
          </w:p>
        </w:tc>
        <w:tc>
          <w:tcPr>
            <w:tcW w:w="1484" w:type="dxa"/>
            <w:vMerge w:val="restart"/>
            <w:tcBorders>
              <w:top w:val="outset" w:color="auto" w:sz="6" w:space="0"/>
              <w:left w:val="outset" w:color="auto" w:sz="6" w:space="0"/>
              <w:bottom w:val="outset" w:color="auto" w:sz="6" w:space="0"/>
              <w:right w:val="outset" w:color="auto" w:sz="6" w:space="0"/>
            </w:tcBorders>
            <w:vAlign w:val="center"/>
          </w:tcPr>
          <w:p w14:paraId="5D25B2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响应性评审标准</w:t>
            </w: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76B368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投标内容</w:t>
            </w:r>
          </w:p>
        </w:tc>
        <w:tc>
          <w:tcPr>
            <w:tcW w:w="6313" w:type="dxa"/>
            <w:tcBorders>
              <w:top w:val="outset" w:color="auto" w:sz="6" w:space="0"/>
              <w:left w:val="outset" w:color="auto" w:sz="6" w:space="0"/>
              <w:bottom w:val="outset" w:color="auto" w:sz="6" w:space="0"/>
              <w:right w:val="outset" w:color="auto" w:sz="6" w:space="0"/>
            </w:tcBorders>
            <w:vAlign w:val="center"/>
          </w:tcPr>
          <w:p w14:paraId="6D3AD0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符合第二章“投标人须知”第1.3.1项规定</w:t>
            </w:r>
          </w:p>
        </w:tc>
      </w:tr>
      <w:tr w14:paraId="46D6CE0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7E9306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53672F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6FA39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履约期限、质量目标承诺</w:t>
            </w:r>
          </w:p>
        </w:tc>
        <w:tc>
          <w:tcPr>
            <w:tcW w:w="6313" w:type="dxa"/>
            <w:tcBorders>
              <w:top w:val="outset" w:color="auto" w:sz="6" w:space="0"/>
              <w:left w:val="outset" w:color="auto" w:sz="6" w:space="0"/>
              <w:bottom w:val="outset" w:color="auto" w:sz="6" w:space="0"/>
              <w:right w:val="outset" w:color="auto" w:sz="6" w:space="0"/>
            </w:tcBorders>
            <w:vAlign w:val="center"/>
          </w:tcPr>
          <w:p w14:paraId="73EC1C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符合第二章“投标人须知”第1.3.2、1.3.3项规定</w:t>
            </w:r>
          </w:p>
        </w:tc>
      </w:tr>
      <w:tr w14:paraId="6AFAE4A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7BCA77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579398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708004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投标有效期</w:t>
            </w:r>
          </w:p>
        </w:tc>
        <w:tc>
          <w:tcPr>
            <w:tcW w:w="6313" w:type="dxa"/>
            <w:tcBorders>
              <w:top w:val="outset" w:color="auto" w:sz="6" w:space="0"/>
              <w:left w:val="outset" w:color="auto" w:sz="6" w:space="0"/>
              <w:bottom w:val="outset" w:color="auto" w:sz="6" w:space="0"/>
              <w:right w:val="outset" w:color="auto" w:sz="6" w:space="0"/>
            </w:tcBorders>
            <w:vAlign w:val="center"/>
          </w:tcPr>
          <w:p w14:paraId="71CF81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符合第二章“投标人须知”第3.3.1项规定</w:t>
            </w:r>
          </w:p>
        </w:tc>
      </w:tr>
      <w:tr w14:paraId="4AC64E7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18A41F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208DEF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C2C2B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投标保证金</w:t>
            </w:r>
          </w:p>
        </w:tc>
        <w:tc>
          <w:tcPr>
            <w:tcW w:w="6313" w:type="dxa"/>
            <w:tcBorders>
              <w:top w:val="outset" w:color="auto" w:sz="6" w:space="0"/>
              <w:left w:val="outset" w:color="auto" w:sz="6" w:space="0"/>
              <w:bottom w:val="outset" w:color="auto" w:sz="6" w:space="0"/>
              <w:right w:val="outset" w:color="auto" w:sz="6" w:space="0"/>
            </w:tcBorders>
            <w:vAlign w:val="center"/>
          </w:tcPr>
          <w:p w14:paraId="1F05FC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已按招标文件要求提交投标保证金，并与投标项目关联</w:t>
            </w:r>
          </w:p>
        </w:tc>
      </w:tr>
      <w:tr w14:paraId="351B329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6728C9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6BC9E5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174474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权利义务</w:t>
            </w:r>
          </w:p>
        </w:tc>
        <w:tc>
          <w:tcPr>
            <w:tcW w:w="6313" w:type="dxa"/>
            <w:tcBorders>
              <w:top w:val="outset" w:color="auto" w:sz="6" w:space="0"/>
              <w:left w:val="outset" w:color="auto" w:sz="6" w:space="0"/>
              <w:bottom w:val="outset" w:color="auto" w:sz="6" w:space="0"/>
              <w:right w:val="outset" w:color="auto" w:sz="6" w:space="0"/>
            </w:tcBorders>
            <w:vAlign w:val="center"/>
          </w:tcPr>
          <w:p w14:paraId="52FBCF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szCs w:val="21"/>
              </w:rPr>
              <w:t>投标函附录中的相关承诺符合或优于第四章“合同条款及格式”的相关规定</w:t>
            </w:r>
          </w:p>
        </w:tc>
      </w:tr>
      <w:tr w14:paraId="410D6EC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outset" w:color="auto" w:sz="6" w:space="0"/>
              <w:left w:val="outset" w:color="auto" w:sz="6" w:space="0"/>
              <w:bottom w:val="outset" w:color="auto" w:sz="6" w:space="0"/>
              <w:right w:val="outset" w:color="auto" w:sz="6" w:space="0"/>
            </w:tcBorders>
            <w:vAlign w:val="center"/>
          </w:tcPr>
          <w:p w14:paraId="161761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1484" w:type="dxa"/>
            <w:vMerge w:val="continue"/>
            <w:tcBorders>
              <w:top w:val="outset" w:color="auto" w:sz="6" w:space="0"/>
              <w:left w:val="outset" w:color="auto" w:sz="6" w:space="0"/>
              <w:bottom w:val="outset" w:color="auto" w:sz="6" w:space="0"/>
              <w:right w:val="outset" w:color="auto" w:sz="6" w:space="0"/>
            </w:tcBorders>
            <w:vAlign w:val="center"/>
          </w:tcPr>
          <w:p w14:paraId="1CF252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739CB6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eastAsia" w:ascii="宋体" w:hAnsi="宋体" w:eastAsia="宋体" w:cs="宋体"/>
                <w:color w:val="000000"/>
              </w:rPr>
            </w:pPr>
            <w:r>
              <w:rPr>
                <w:rFonts w:hint="eastAsia" w:ascii="宋体" w:hAnsi="宋体" w:eastAsia="宋体" w:cs="宋体"/>
                <w:color w:val="000000"/>
              </w:rPr>
              <w:t>投标价格</w:t>
            </w:r>
          </w:p>
        </w:tc>
        <w:tc>
          <w:tcPr>
            <w:tcW w:w="6313" w:type="dxa"/>
            <w:tcBorders>
              <w:top w:val="outset" w:color="auto" w:sz="6" w:space="0"/>
              <w:left w:val="outset" w:color="auto" w:sz="6" w:space="0"/>
              <w:bottom w:val="outset" w:color="auto" w:sz="6" w:space="0"/>
              <w:right w:val="outset" w:color="auto" w:sz="6" w:space="0"/>
            </w:tcBorders>
            <w:vAlign w:val="center"/>
          </w:tcPr>
          <w:p w14:paraId="7361C2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投标人投标函中的大写报价或算术错误修正后的投标报价未超过</w:t>
            </w:r>
            <w:r>
              <w:rPr>
                <w:rFonts w:hint="eastAsia" w:ascii="宋体" w:hAnsi="宋体" w:eastAsia="宋体" w:cs="宋体"/>
                <w:color w:val="000000"/>
                <w:szCs w:val="21"/>
              </w:rPr>
              <w:t>本标段（包）</w:t>
            </w:r>
            <w:r>
              <w:rPr>
                <w:rFonts w:hint="eastAsia" w:ascii="宋体" w:hAnsi="宋体" w:eastAsia="宋体" w:cs="宋体"/>
                <w:color w:val="000000"/>
              </w:rPr>
              <w:t>最高投标限价（如有）</w:t>
            </w:r>
          </w:p>
        </w:tc>
      </w:tr>
      <w:tr w14:paraId="3D50872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2557" w:type="dxa"/>
            <w:gridSpan w:val="2"/>
            <w:tcBorders>
              <w:top w:val="outset" w:color="auto" w:sz="6" w:space="0"/>
              <w:left w:val="outset" w:color="auto" w:sz="6" w:space="0"/>
              <w:bottom w:val="outset" w:color="auto" w:sz="6" w:space="0"/>
              <w:right w:val="outset" w:color="auto" w:sz="6" w:space="0"/>
            </w:tcBorders>
            <w:vAlign w:val="center"/>
          </w:tcPr>
          <w:p w14:paraId="2AAFC8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3.2</w:t>
            </w: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35B9FC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投标人不得存在的其他情形</w:t>
            </w:r>
          </w:p>
        </w:tc>
        <w:tc>
          <w:tcPr>
            <w:tcW w:w="6313" w:type="dxa"/>
            <w:tcBorders>
              <w:top w:val="outset" w:color="auto" w:sz="6" w:space="0"/>
              <w:left w:val="outset" w:color="auto" w:sz="6" w:space="0"/>
              <w:bottom w:val="outset" w:color="auto" w:sz="6" w:space="0"/>
              <w:right w:val="outset" w:color="auto" w:sz="6" w:space="0"/>
            </w:tcBorders>
            <w:vAlign w:val="center"/>
          </w:tcPr>
          <w:p w14:paraId="0CA057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rPr>
            </w:pPr>
            <w:r>
              <w:rPr>
                <w:rFonts w:hint="eastAsia" w:ascii="宋体" w:hAnsi="宋体" w:eastAsia="宋体" w:cs="宋体"/>
              </w:rPr>
              <w:t>(1)串通投标、弄虚作假、行贿或有其他违法行为的；</w:t>
            </w:r>
          </w:p>
          <w:p w14:paraId="0D8993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rPr>
            </w:pPr>
            <w:r>
              <w:rPr>
                <w:rFonts w:hint="eastAsia" w:ascii="宋体" w:hAnsi="宋体" w:eastAsia="宋体" w:cs="宋体"/>
              </w:rPr>
              <w:t>(2)不按评标委员会要求澄清、说明或补正的。</w:t>
            </w:r>
          </w:p>
          <w:p w14:paraId="5470888D">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both"/>
              <w:textAlignment w:val="auto"/>
              <w:rPr>
                <w:rFonts w:hint="eastAsia" w:ascii="宋体" w:hAnsi="宋体" w:eastAsia="宋体" w:cs="宋体"/>
                <w:kern w:val="2"/>
                <w:sz w:val="21"/>
                <w:szCs w:val="24"/>
                <w:lang w:val="zh-CN" w:eastAsia="zh-CN" w:bidi="ar-SA"/>
              </w:rPr>
            </w:pPr>
            <w:r>
              <w:rPr>
                <w:rFonts w:hint="eastAsia" w:ascii="宋体" w:hAnsi="宋体" w:eastAsia="宋体" w:cs="宋体"/>
                <w:kern w:val="2"/>
                <w:sz w:val="21"/>
                <w:szCs w:val="24"/>
                <w:lang w:val="en-US" w:eastAsia="zh-CN" w:bidi="ar-SA"/>
              </w:rPr>
              <w:t>3</w:t>
            </w:r>
            <w:r>
              <w:rPr>
                <w:rFonts w:hint="eastAsia" w:ascii="宋体" w:hAnsi="宋体" w:eastAsia="宋体" w:cs="宋体"/>
                <w:kern w:val="2"/>
                <w:sz w:val="21"/>
                <w:szCs w:val="24"/>
                <w:lang w:val="zh-CN" w:eastAsia="zh-CN" w:bidi="ar-SA"/>
              </w:rPr>
              <w:t>)</w:t>
            </w:r>
            <w:r>
              <w:rPr>
                <w:rFonts w:hint="eastAsia" w:ascii="宋体" w:hAnsi="宋体" w:eastAsia="宋体" w:cs="宋体"/>
                <w:kern w:val="2"/>
                <w:sz w:val="21"/>
                <w:szCs w:val="22"/>
                <w:lang w:val="en-US" w:eastAsia="zh-CN" w:bidi="ar-SA"/>
              </w:rPr>
              <w:t>串通投标，包括但不限于下列情形：不同投标人的投标文件记录的IP地址相同且无法提供合理解释的，投标文件记录的网卡（MAC）地址、硬盘序列号、电脑运行环境等硬件信息有一条（含一条）以上相同的，工程量清单编制计价软件密码锁序列号相同的。</w:t>
            </w:r>
          </w:p>
        </w:tc>
      </w:tr>
      <w:tr w14:paraId="0F52989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2557" w:type="dxa"/>
            <w:gridSpan w:val="2"/>
            <w:tcBorders>
              <w:top w:val="outset" w:color="auto" w:sz="6" w:space="0"/>
              <w:left w:val="outset" w:color="auto" w:sz="6" w:space="0"/>
              <w:bottom w:val="outset" w:color="auto" w:sz="6" w:space="0"/>
              <w:right w:val="outset" w:color="auto" w:sz="6" w:space="0"/>
            </w:tcBorders>
            <w:vAlign w:val="center"/>
          </w:tcPr>
          <w:p w14:paraId="73263F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2.2.1</w:t>
            </w:r>
          </w:p>
        </w:tc>
        <w:tc>
          <w:tcPr>
            <w:tcW w:w="4665" w:type="dxa"/>
            <w:gridSpan w:val="2"/>
            <w:tcBorders>
              <w:top w:val="outset" w:color="auto" w:sz="6" w:space="0"/>
              <w:left w:val="outset" w:color="auto" w:sz="6" w:space="0"/>
              <w:bottom w:val="outset" w:color="auto" w:sz="6" w:space="0"/>
              <w:right w:val="outset" w:color="auto" w:sz="6" w:space="0"/>
            </w:tcBorders>
            <w:vAlign w:val="center"/>
          </w:tcPr>
          <w:p w14:paraId="00F600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rPr>
            </w:pPr>
            <w:r>
              <w:rPr>
                <w:rFonts w:hint="eastAsia" w:ascii="宋体" w:hAnsi="宋体" w:eastAsia="宋体" w:cs="宋体"/>
                <w:color w:val="000000"/>
                <w:highlight w:val="none"/>
              </w:rPr>
              <w:t>分值构成（总分</w:t>
            </w:r>
            <w:r>
              <w:rPr>
                <w:rFonts w:hint="eastAsia" w:ascii="宋体" w:hAnsi="宋体" w:cs="宋体"/>
                <w:color w:val="000000"/>
                <w:highlight w:val="none"/>
                <w:lang w:val="en-US" w:eastAsia="zh-CN"/>
              </w:rPr>
              <w:t>100</w:t>
            </w:r>
            <w:r>
              <w:rPr>
                <w:rFonts w:hint="eastAsia" w:ascii="宋体" w:hAnsi="宋体" w:eastAsia="宋体" w:cs="宋体"/>
                <w:color w:val="000000"/>
                <w:highlight w:val="none"/>
              </w:rPr>
              <w:t>分）</w:t>
            </w:r>
          </w:p>
        </w:tc>
        <w:tc>
          <w:tcPr>
            <w:tcW w:w="6313" w:type="dxa"/>
            <w:tcBorders>
              <w:top w:val="outset" w:color="auto" w:sz="6" w:space="0"/>
              <w:left w:val="outset" w:color="auto" w:sz="6" w:space="0"/>
              <w:bottom w:val="outset" w:color="auto" w:sz="6" w:space="0"/>
              <w:right w:val="outset" w:color="auto" w:sz="6" w:space="0"/>
            </w:tcBorders>
            <w:vAlign w:val="center"/>
          </w:tcPr>
          <w:p w14:paraId="3EEBA1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投标报价：</w:t>
            </w:r>
            <w:r>
              <w:rPr>
                <w:rFonts w:hint="eastAsia" w:ascii="宋体" w:hAnsi="宋体" w:eastAsia="宋体" w:cs="宋体"/>
                <w:color w:val="000000"/>
                <w:highlight w:val="none"/>
                <w:lang w:val="en-US" w:eastAsia="zh-CN"/>
              </w:rPr>
              <w:t>40</w:t>
            </w:r>
            <w:r>
              <w:rPr>
                <w:rFonts w:hint="eastAsia" w:ascii="宋体" w:hAnsi="宋体" w:eastAsia="宋体" w:cs="宋体"/>
                <w:color w:val="000000"/>
                <w:highlight w:val="none"/>
              </w:rPr>
              <w:t>分</w:t>
            </w:r>
          </w:p>
          <w:p w14:paraId="138CA2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highlight w:val="none"/>
              </w:rPr>
            </w:pPr>
            <w:r>
              <w:rPr>
                <w:rFonts w:hint="eastAsia" w:ascii="宋体" w:hAnsi="宋体" w:eastAsia="宋体" w:cs="宋体"/>
                <w:color w:val="000000"/>
                <w:highlight w:val="none"/>
              </w:rPr>
              <w:t>商务评审：</w:t>
            </w:r>
            <w:r>
              <w:rPr>
                <w:rFonts w:hint="eastAsia" w:ascii="宋体" w:hAnsi="宋体" w:eastAsia="宋体" w:cs="宋体"/>
                <w:color w:val="000000"/>
                <w:highlight w:val="none"/>
                <w:lang w:val="en-US" w:eastAsia="zh-CN"/>
              </w:rPr>
              <w:t>20</w:t>
            </w:r>
            <w:r>
              <w:rPr>
                <w:rFonts w:hint="eastAsia" w:ascii="宋体" w:hAnsi="宋体" w:eastAsia="宋体" w:cs="宋体"/>
                <w:color w:val="000000"/>
                <w:highlight w:val="none"/>
              </w:rPr>
              <w:t>分</w:t>
            </w:r>
          </w:p>
          <w:p w14:paraId="0548EC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技术评审：</w:t>
            </w:r>
            <w:r>
              <w:rPr>
                <w:rFonts w:hint="eastAsia" w:ascii="宋体" w:hAnsi="宋体" w:eastAsia="宋体" w:cs="宋体"/>
                <w:color w:val="000000"/>
                <w:highlight w:val="none"/>
                <w:lang w:val="en-US" w:eastAsia="zh-CN"/>
              </w:rPr>
              <w:t>40</w:t>
            </w:r>
            <w:r>
              <w:rPr>
                <w:rFonts w:hint="eastAsia" w:ascii="宋体" w:hAnsi="宋体" w:eastAsia="宋体" w:cs="宋体"/>
                <w:color w:val="000000"/>
                <w:highlight w:val="none"/>
              </w:rPr>
              <w:t>分</w:t>
            </w:r>
          </w:p>
          <w:p w14:paraId="7144E7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highlight w:val="none"/>
              </w:rPr>
            </w:pPr>
            <w:r>
              <w:rPr>
                <w:rFonts w:hint="eastAsia" w:ascii="宋体" w:hAnsi="宋体" w:eastAsia="宋体" w:cs="宋体"/>
                <w:color w:val="000000"/>
                <w:highlight w:val="none"/>
              </w:rPr>
              <w:t>其他评审：</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分</w:t>
            </w:r>
          </w:p>
          <w:p w14:paraId="495D27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highlight w:val="none"/>
              </w:rPr>
            </w:pPr>
            <w:r>
              <w:rPr>
                <w:rFonts w:hint="eastAsia" w:ascii="宋体" w:hAnsi="宋体" w:eastAsia="宋体" w:cs="宋体"/>
                <w:color w:val="000000"/>
                <w:highlight w:val="none"/>
              </w:rPr>
              <w:t>（没分时打“/”）</w:t>
            </w:r>
          </w:p>
        </w:tc>
      </w:tr>
      <w:tr w14:paraId="7F466F4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tcBorders>
              <w:top w:val="single" w:color="auto" w:sz="4" w:space="0"/>
              <w:left w:val="outset" w:color="auto" w:sz="6" w:space="0"/>
              <w:bottom w:val="outset" w:color="auto" w:sz="6" w:space="0"/>
              <w:right w:val="outset" w:color="auto" w:sz="6" w:space="0"/>
            </w:tcBorders>
            <w:vAlign w:val="center"/>
          </w:tcPr>
          <w:p w14:paraId="0ADA08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条款号</w:t>
            </w:r>
          </w:p>
        </w:tc>
        <w:tc>
          <w:tcPr>
            <w:tcW w:w="1484" w:type="dxa"/>
            <w:tcBorders>
              <w:top w:val="single" w:color="auto" w:sz="4" w:space="0"/>
              <w:left w:val="outset" w:color="auto" w:sz="6" w:space="0"/>
              <w:bottom w:val="outset" w:color="auto" w:sz="6" w:space="0"/>
              <w:right w:val="outset" w:color="auto" w:sz="6" w:space="0"/>
            </w:tcBorders>
            <w:vAlign w:val="center"/>
          </w:tcPr>
          <w:p w14:paraId="5C4D6E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评分因素</w:t>
            </w:r>
          </w:p>
        </w:tc>
        <w:tc>
          <w:tcPr>
            <w:tcW w:w="3501" w:type="dxa"/>
            <w:tcBorders>
              <w:top w:val="single" w:color="auto" w:sz="4" w:space="0"/>
              <w:left w:val="outset" w:color="auto" w:sz="6" w:space="0"/>
              <w:bottom w:val="outset" w:color="auto" w:sz="6" w:space="0"/>
              <w:right w:val="outset" w:color="auto" w:sz="6" w:space="0"/>
            </w:tcBorders>
            <w:vAlign w:val="center"/>
          </w:tcPr>
          <w:p w14:paraId="525118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各评分因素细分项</w:t>
            </w:r>
          </w:p>
        </w:tc>
        <w:tc>
          <w:tcPr>
            <w:tcW w:w="1164" w:type="dxa"/>
            <w:tcBorders>
              <w:top w:val="single" w:color="auto" w:sz="4" w:space="0"/>
              <w:left w:val="outset" w:color="auto" w:sz="6" w:space="0"/>
              <w:bottom w:val="outset" w:color="auto" w:sz="6" w:space="0"/>
              <w:right w:val="outset" w:color="auto" w:sz="6" w:space="0"/>
            </w:tcBorders>
            <w:vAlign w:val="center"/>
          </w:tcPr>
          <w:p w14:paraId="2B53E1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分值</w:t>
            </w:r>
          </w:p>
        </w:tc>
        <w:tc>
          <w:tcPr>
            <w:tcW w:w="6313" w:type="dxa"/>
            <w:tcBorders>
              <w:top w:val="single" w:color="auto" w:sz="4" w:space="0"/>
              <w:left w:val="outset" w:color="auto" w:sz="6" w:space="0"/>
              <w:bottom w:val="outset" w:color="auto" w:sz="6" w:space="0"/>
              <w:right w:val="outset" w:color="auto" w:sz="6" w:space="0"/>
            </w:tcBorders>
            <w:vAlign w:val="center"/>
          </w:tcPr>
          <w:p w14:paraId="12BE94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rPr>
            </w:pPr>
            <w:r>
              <w:rPr>
                <w:rFonts w:hint="eastAsia" w:ascii="宋体" w:hAnsi="宋体" w:eastAsia="宋体" w:cs="宋体"/>
                <w:color w:val="000000"/>
              </w:rPr>
              <w:t>评分标准</w:t>
            </w:r>
          </w:p>
        </w:tc>
      </w:tr>
      <w:tr w14:paraId="40B085E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tcBorders>
              <w:top w:val="outset" w:color="auto" w:sz="6" w:space="0"/>
              <w:left w:val="outset" w:color="auto" w:sz="6" w:space="0"/>
              <w:right w:val="outset" w:color="auto" w:sz="6" w:space="0"/>
            </w:tcBorders>
            <w:vAlign w:val="center"/>
          </w:tcPr>
          <w:p w14:paraId="5A0EAE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 xml:space="preserve"> 2.2.2（1）</w:t>
            </w:r>
          </w:p>
        </w:tc>
        <w:tc>
          <w:tcPr>
            <w:tcW w:w="1484" w:type="dxa"/>
            <w:tcBorders>
              <w:top w:val="outset" w:color="auto" w:sz="6" w:space="0"/>
              <w:left w:val="outset" w:color="auto" w:sz="6" w:space="0"/>
              <w:right w:val="outset" w:color="auto" w:sz="6" w:space="0"/>
            </w:tcBorders>
            <w:shd w:val="clear" w:color="auto" w:fill="auto"/>
            <w:vAlign w:val="center"/>
          </w:tcPr>
          <w:p w14:paraId="295B58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投标报价</w:t>
            </w:r>
          </w:p>
        </w:tc>
        <w:tc>
          <w:tcPr>
            <w:tcW w:w="3501" w:type="dxa"/>
            <w:tcBorders>
              <w:top w:val="outset" w:color="auto" w:sz="6" w:space="0"/>
              <w:left w:val="outset" w:color="auto" w:sz="6" w:space="0"/>
              <w:right w:val="outset" w:color="auto" w:sz="6" w:space="0"/>
            </w:tcBorders>
            <w:vAlign w:val="center"/>
          </w:tcPr>
          <w:p w14:paraId="563A6E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投标报价</w:t>
            </w:r>
          </w:p>
        </w:tc>
        <w:tc>
          <w:tcPr>
            <w:tcW w:w="1164" w:type="dxa"/>
            <w:tcBorders>
              <w:top w:val="outset" w:color="auto" w:sz="6" w:space="0"/>
              <w:left w:val="outset" w:color="auto" w:sz="6" w:space="0"/>
              <w:right w:val="outset" w:color="auto" w:sz="6" w:space="0"/>
            </w:tcBorders>
            <w:vAlign w:val="center"/>
          </w:tcPr>
          <w:p w14:paraId="7BEF5A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40</w:t>
            </w:r>
          </w:p>
        </w:tc>
        <w:tc>
          <w:tcPr>
            <w:tcW w:w="6313" w:type="dxa"/>
            <w:tcBorders>
              <w:top w:val="outset" w:color="auto" w:sz="6" w:space="0"/>
              <w:left w:val="outset" w:color="auto" w:sz="6" w:space="0"/>
              <w:bottom w:val="single" w:color="auto" w:sz="4" w:space="0"/>
              <w:right w:val="outset" w:color="auto" w:sz="6" w:space="0"/>
            </w:tcBorders>
            <w:vAlign w:val="center"/>
          </w:tcPr>
          <w:p w14:paraId="0A9292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评标基准价计算方法：当有效投标文件数量多于 5 家时，以去掉一个最高和一个最低报价后剩余有效投标文件报价的算数平均值作为评标基准价；当有效投标文件数量少于 5 家（含 5 家）时，以所有有效投标文件报价的算数平均值作为评标基准价。评标基准价四舍五入后保留小数点后 2 位。建安工程费报价得分计算规则：有效投标报价等于评标基准价得满分，每高于评标基准价 1%扣0.2 分，扣完为止，每低于评标基准价 1%扣0.1分，扣完为止。报价得分四舍五入后保留小数点后 2 位。</w:t>
            </w:r>
          </w:p>
          <w:p w14:paraId="41BCEF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公式：①投标报价低于评标基准价的，每低于 1.0%扣0.1分，扣完为止。该项记分公式为：K=30-[（Q-q）/Q] × 100×0.1；</w:t>
            </w:r>
          </w:p>
          <w:p w14:paraId="46736A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②投标报价高于评标基准价的，每高于 1.0%扣0.2分，扣完为止。该项记分公式为：K=30+[（Q-q）/Q] × 100×0.2</w:t>
            </w:r>
          </w:p>
          <w:p w14:paraId="653105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以上公式中：q--投标报价，Q--评标基准价</w:t>
            </w:r>
          </w:p>
        </w:tc>
      </w:tr>
      <w:tr w14:paraId="662D290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restart"/>
            <w:tcBorders>
              <w:top w:val="single" w:color="auto" w:sz="4" w:space="0"/>
              <w:left w:val="single" w:color="auto" w:sz="4" w:space="0"/>
              <w:bottom w:val="single" w:color="auto" w:sz="4" w:space="0"/>
              <w:right w:val="single" w:color="auto" w:sz="4" w:space="0"/>
            </w:tcBorders>
            <w:vAlign w:val="center"/>
          </w:tcPr>
          <w:p w14:paraId="3FE4EC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2.2.2 (2)</w:t>
            </w: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369A36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商务评审</w:t>
            </w:r>
          </w:p>
        </w:tc>
        <w:tc>
          <w:tcPr>
            <w:tcW w:w="3501" w:type="dxa"/>
            <w:tcBorders>
              <w:top w:val="single" w:color="auto" w:sz="4" w:space="0"/>
              <w:left w:val="single" w:color="auto" w:sz="4" w:space="0"/>
              <w:bottom w:val="single" w:color="auto" w:sz="4" w:space="0"/>
              <w:right w:val="single" w:color="auto" w:sz="4" w:space="0"/>
            </w:tcBorders>
            <w:vAlign w:val="center"/>
          </w:tcPr>
          <w:p w14:paraId="3A4739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类似项目业绩</w:t>
            </w:r>
          </w:p>
        </w:tc>
        <w:tc>
          <w:tcPr>
            <w:tcW w:w="1164" w:type="dxa"/>
            <w:tcBorders>
              <w:top w:val="single" w:color="auto" w:sz="4" w:space="0"/>
              <w:left w:val="single" w:color="auto" w:sz="4" w:space="0"/>
              <w:bottom w:val="single" w:color="auto" w:sz="4" w:space="0"/>
              <w:right w:val="single" w:color="auto" w:sz="4" w:space="0"/>
            </w:tcBorders>
            <w:vAlign w:val="center"/>
          </w:tcPr>
          <w:p w14:paraId="77EBDE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eastAsia="宋体" w:cs="宋体"/>
                <w:color w:val="000000"/>
                <w:lang w:val="en-US" w:eastAsia="zh-CN"/>
              </w:rPr>
            </w:pPr>
            <w:r>
              <w:rPr>
                <w:rFonts w:hint="eastAsia" w:ascii="宋体" w:hAnsi="宋体" w:eastAsia="宋体" w:cs="宋体"/>
                <w:color w:val="000000"/>
                <w:lang w:val="en-US" w:eastAsia="zh-CN"/>
              </w:rPr>
              <w:t>15</w:t>
            </w:r>
          </w:p>
        </w:tc>
        <w:tc>
          <w:tcPr>
            <w:tcW w:w="6313" w:type="dxa"/>
            <w:tcBorders>
              <w:top w:val="single" w:color="auto" w:sz="4" w:space="0"/>
              <w:left w:val="single" w:color="auto" w:sz="4" w:space="0"/>
              <w:bottom w:val="single" w:color="auto" w:sz="4" w:space="0"/>
              <w:right w:val="single" w:color="auto" w:sz="4" w:space="0"/>
            </w:tcBorders>
            <w:vAlign w:val="center"/>
          </w:tcPr>
          <w:p w14:paraId="76D0BB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u w:val="none"/>
                <w:lang w:eastAsia="zh-CN"/>
              </w:rPr>
            </w:pPr>
            <w:r>
              <w:rPr>
                <w:rFonts w:hint="eastAsia" w:ascii="宋体" w:hAnsi="宋体" w:eastAsia="宋体" w:cs="宋体"/>
                <w:color w:val="000000"/>
                <w:u w:val="none"/>
                <w:lang w:val="en-US" w:eastAsia="zh-CN"/>
              </w:rPr>
              <w:t>投标人</w:t>
            </w:r>
            <w:r>
              <w:rPr>
                <w:rFonts w:hint="eastAsia" w:ascii="宋体" w:hAnsi="宋体" w:eastAsia="宋体" w:cs="宋体"/>
                <w:color w:val="000000"/>
                <w:u w:val="none"/>
              </w:rPr>
              <w:t>近5年内每承接过一项合同金额为</w:t>
            </w:r>
            <w:r>
              <w:rPr>
                <w:rFonts w:hint="eastAsia" w:ascii="宋体" w:hAnsi="宋体" w:cs="宋体"/>
                <w:color w:val="000000"/>
                <w:u w:val="none"/>
                <w:lang w:val="en-US" w:eastAsia="zh-CN"/>
              </w:rPr>
              <w:t>3556.74</w:t>
            </w:r>
            <w:r>
              <w:rPr>
                <w:rFonts w:hint="eastAsia" w:ascii="宋体" w:hAnsi="宋体" w:eastAsia="宋体" w:cs="宋体"/>
                <w:color w:val="000000"/>
                <w:u w:val="none"/>
                <w:lang w:val="en-US" w:eastAsia="zh-CN"/>
              </w:rPr>
              <w:t>万</w:t>
            </w:r>
            <w:r>
              <w:rPr>
                <w:rFonts w:hint="eastAsia" w:ascii="宋体" w:hAnsi="宋体" w:eastAsia="宋体" w:cs="宋体"/>
                <w:color w:val="000000"/>
                <w:u w:val="none"/>
              </w:rPr>
              <w:t>元及以上的</w:t>
            </w:r>
            <w:r>
              <w:rPr>
                <w:rFonts w:hint="eastAsia" w:ascii="Times New Roman" w:hAnsi="Times New Roman"/>
                <w:color w:val="000000"/>
                <w:szCs w:val="21"/>
                <w:u w:val="none"/>
                <w:lang w:val="en-US" w:eastAsia="zh-CN"/>
              </w:rPr>
              <w:t>电力相关工程施工</w:t>
            </w:r>
            <w:r>
              <w:rPr>
                <w:rFonts w:hint="eastAsia" w:ascii="宋体" w:hAnsi="宋体" w:eastAsia="宋体" w:cs="宋体"/>
                <w:color w:val="000000"/>
                <w:u w:val="none"/>
              </w:rPr>
              <w:t>类似业绩（</w:t>
            </w:r>
            <w:r>
              <w:rPr>
                <w:rFonts w:hint="eastAsia" w:ascii="宋体" w:hAnsi="宋体" w:eastAsia="宋体" w:cs="宋体"/>
                <w:color w:val="000000"/>
                <w:u w:val="none"/>
                <w:lang w:val="en-US" w:eastAsia="zh-CN"/>
              </w:rPr>
              <w:t>投标</w:t>
            </w:r>
            <w:r>
              <w:rPr>
                <w:rFonts w:hint="eastAsia" w:ascii="宋体" w:hAnsi="宋体" w:eastAsia="宋体" w:cs="宋体"/>
                <w:color w:val="000000"/>
                <w:u w:val="none"/>
              </w:rPr>
              <w:t>截止时间往前推算5年），每有1个得</w:t>
            </w:r>
            <w:r>
              <w:rPr>
                <w:rFonts w:hint="eastAsia" w:ascii="宋体" w:hAnsi="宋体" w:cs="宋体"/>
                <w:color w:val="000000"/>
                <w:u w:val="none"/>
                <w:lang w:val="en-US" w:eastAsia="zh-CN"/>
              </w:rPr>
              <w:t>5</w:t>
            </w:r>
            <w:r>
              <w:rPr>
                <w:rFonts w:hint="eastAsia" w:ascii="宋体" w:hAnsi="宋体" w:eastAsia="宋体" w:cs="宋体"/>
                <w:color w:val="000000"/>
                <w:u w:val="none"/>
              </w:rPr>
              <w:t>分，最多得</w:t>
            </w:r>
            <w:r>
              <w:rPr>
                <w:rFonts w:hint="eastAsia" w:ascii="宋体" w:hAnsi="宋体" w:eastAsia="宋体" w:cs="宋体"/>
                <w:color w:val="000000"/>
                <w:u w:val="none"/>
                <w:lang w:val="en-US" w:eastAsia="zh-CN"/>
              </w:rPr>
              <w:t>15</w:t>
            </w:r>
            <w:r>
              <w:rPr>
                <w:rFonts w:hint="eastAsia" w:ascii="宋体" w:hAnsi="宋体" w:eastAsia="宋体" w:cs="宋体"/>
                <w:color w:val="000000"/>
                <w:u w:val="none"/>
              </w:rPr>
              <w:t>分。</w:t>
            </w:r>
            <w:r>
              <w:rPr>
                <w:rFonts w:hint="eastAsia" w:ascii="宋体" w:hAnsi="宋体" w:cs="宋体"/>
                <w:color w:val="000000"/>
                <w:u w:val="none"/>
                <w:lang w:eastAsia="zh-CN"/>
              </w:rPr>
              <w:t>（如为联合体投标，联合体中任意一方</w:t>
            </w:r>
            <w:r>
              <w:rPr>
                <w:rFonts w:hint="eastAsia" w:ascii="宋体" w:hAnsi="宋体" w:cs="宋体"/>
                <w:color w:val="000000"/>
                <w:u w:val="none"/>
                <w:lang w:val="en-US" w:eastAsia="zh-CN"/>
              </w:rPr>
              <w:t>提供即可</w:t>
            </w:r>
            <w:r>
              <w:rPr>
                <w:rFonts w:hint="eastAsia" w:ascii="宋体" w:hAnsi="宋体" w:cs="宋体"/>
                <w:color w:val="000000"/>
                <w:u w:val="none"/>
                <w:lang w:eastAsia="zh-CN"/>
              </w:rPr>
              <w:t>）</w:t>
            </w:r>
          </w:p>
          <w:p w14:paraId="507F86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宋体" w:hAnsi="宋体" w:eastAsia="宋体" w:cs="宋体"/>
                <w:color w:val="000000"/>
                <w:lang w:val="en-US" w:eastAsia="zh-CN"/>
              </w:rPr>
            </w:pPr>
            <w:r>
              <w:rPr>
                <w:rFonts w:hint="eastAsia" w:ascii="宋体" w:hAnsi="宋体" w:eastAsia="宋体" w:cs="宋体"/>
                <w:color w:val="000000"/>
                <w:u w:val="none"/>
                <w:lang w:val="en-US" w:eastAsia="zh-CN"/>
              </w:rPr>
              <w:t>业绩以</w:t>
            </w:r>
            <w:r>
              <w:rPr>
                <w:rFonts w:hint="eastAsia" w:ascii="宋体" w:hAnsi="宋体" w:cs="宋体"/>
                <w:color w:val="000000"/>
                <w:u w:val="none"/>
                <w:lang w:val="en-US" w:eastAsia="zh-CN"/>
              </w:rPr>
              <w:t>合同签订时间</w:t>
            </w:r>
            <w:r>
              <w:rPr>
                <w:rFonts w:hint="eastAsia" w:ascii="宋体" w:hAnsi="宋体" w:eastAsia="宋体" w:cs="宋体"/>
                <w:color w:val="000000"/>
                <w:u w:val="none"/>
                <w:lang w:val="en-US" w:eastAsia="zh-CN"/>
              </w:rPr>
              <w:t>为准，证明材料须提供合同、中标通知书（如有</w:t>
            </w:r>
            <w:r>
              <w:rPr>
                <w:rFonts w:hint="eastAsia" w:ascii="宋体" w:hAnsi="宋体" w:eastAsia="宋体" w:cs="宋体"/>
                <w:color w:val="000000"/>
                <w:lang w:val="en-US" w:eastAsia="zh-CN"/>
              </w:rPr>
              <w:t>）</w:t>
            </w:r>
          </w:p>
        </w:tc>
      </w:tr>
      <w:tr w14:paraId="0CC7905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single" w:color="auto" w:sz="4" w:space="0"/>
              <w:left w:val="single" w:color="auto" w:sz="4" w:space="0"/>
              <w:bottom w:val="single" w:color="auto" w:sz="4" w:space="0"/>
              <w:right w:val="single" w:color="auto" w:sz="4" w:space="0"/>
            </w:tcBorders>
            <w:vAlign w:val="center"/>
          </w:tcPr>
          <w:p w14:paraId="00781E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4C3BC3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3501" w:type="dxa"/>
            <w:tcBorders>
              <w:top w:val="single" w:color="auto" w:sz="4" w:space="0"/>
              <w:left w:val="single" w:color="auto" w:sz="4" w:space="0"/>
              <w:bottom w:val="single" w:color="auto" w:sz="4" w:space="0"/>
              <w:right w:val="single" w:color="auto" w:sz="4" w:space="0"/>
            </w:tcBorders>
            <w:vAlign w:val="center"/>
          </w:tcPr>
          <w:p w14:paraId="589EE4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rPr>
            </w:pPr>
            <w:r>
              <w:rPr>
                <w:rFonts w:hint="eastAsia" w:ascii="宋体" w:hAnsi="宋体" w:eastAsia="宋体" w:cs="宋体"/>
                <w:color w:val="000000"/>
                <w:highlight w:val="none"/>
              </w:rPr>
              <w:t>项目团队配备</w:t>
            </w:r>
          </w:p>
        </w:tc>
        <w:tc>
          <w:tcPr>
            <w:tcW w:w="1164" w:type="dxa"/>
            <w:tcBorders>
              <w:top w:val="single" w:color="auto" w:sz="4" w:space="0"/>
              <w:left w:val="single" w:color="auto" w:sz="4" w:space="0"/>
              <w:bottom w:val="single" w:color="auto" w:sz="4" w:space="0"/>
              <w:right w:val="single" w:color="auto" w:sz="4" w:space="0"/>
            </w:tcBorders>
            <w:vAlign w:val="center"/>
          </w:tcPr>
          <w:p w14:paraId="4CACD9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5</w:t>
            </w:r>
          </w:p>
        </w:tc>
        <w:tc>
          <w:tcPr>
            <w:tcW w:w="6313" w:type="dxa"/>
            <w:tcBorders>
              <w:top w:val="single" w:color="auto" w:sz="4" w:space="0"/>
              <w:left w:val="single" w:color="auto" w:sz="4" w:space="0"/>
              <w:bottom w:val="single" w:color="auto" w:sz="4" w:space="0"/>
              <w:right w:val="single" w:color="auto" w:sz="4" w:space="0"/>
            </w:tcBorders>
            <w:vAlign w:val="center"/>
          </w:tcPr>
          <w:p w14:paraId="6F431A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宋体" w:hAnsi="宋体" w:eastAsia="宋体" w:cs="宋体"/>
                <w:color w:val="000000"/>
                <w:highlight w:val="none"/>
              </w:rPr>
            </w:pPr>
            <w:r>
              <w:rPr>
                <w:rFonts w:hint="eastAsia" w:ascii="宋体" w:hAnsi="宋体" w:eastAsia="宋体" w:cs="宋体"/>
                <w:color w:val="000000"/>
                <w:highlight w:val="none"/>
              </w:rPr>
              <w:t>项目管理机构设置合理、职能健全、分工明确、各类人员配备齐全，满足本项目施工总承包需求的得4-5分；机构设置较合理、职能较健全、分工较明确、各类人员配备较齐全，基本满足本项目施工总承包需求的得2-3</w:t>
            </w:r>
            <w:r>
              <w:rPr>
                <w:rFonts w:hint="eastAsia" w:ascii="宋体" w:hAnsi="宋体" w:cs="宋体"/>
                <w:color w:val="000000"/>
                <w:highlight w:val="none"/>
                <w:lang w:val="en-US" w:eastAsia="zh-CN"/>
              </w:rPr>
              <w:t>.9</w:t>
            </w:r>
            <w:r>
              <w:rPr>
                <w:rFonts w:hint="eastAsia" w:ascii="宋体" w:hAnsi="宋体" w:eastAsia="宋体" w:cs="宋体"/>
                <w:color w:val="000000"/>
                <w:highlight w:val="none"/>
              </w:rPr>
              <w:t>分；其他较差者得0</w:t>
            </w:r>
            <w:r>
              <w:rPr>
                <w:rFonts w:hint="eastAsia" w:ascii="宋体" w:hAnsi="宋体" w:cs="宋体"/>
                <w:color w:val="000000"/>
                <w:highlight w:val="none"/>
                <w:lang w:val="en-US" w:eastAsia="zh-CN"/>
              </w:rPr>
              <w:t>.1</w:t>
            </w:r>
            <w:r>
              <w:rPr>
                <w:rFonts w:hint="eastAsia" w:ascii="宋体" w:hAnsi="宋体" w:eastAsia="宋体" w:cs="宋体"/>
                <w:color w:val="000000"/>
                <w:highlight w:val="none"/>
              </w:rPr>
              <w:t>-1</w:t>
            </w:r>
            <w:r>
              <w:rPr>
                <w:rFonts w:hint="eastAsia" w:ascii="宋体" w:hAnsi="宋体" w:cs="宋体"/>
                <w:color w:val="000000"/>
                <w:highlight w:val="none"/>
                <w:lang w:val="en-US" w:eastAsia="zh-CN"/>
              </w:rPr>
              <w:t>.9</w:t>
            </w:r>
            <w:r>
              <w:rPr>
                <w:rFonts w:hint="eastAsia" w:ascii="宋体" w:hAnsi="宋体" w:eastAsia="宋体" w:cs="宋体"/>
                <w:color w:val="000000"/>
                <w:highlight w:val="none"/>
              </w:rPr>
              <w:t>分</w:t>
            </w:r>
            <w:r>
              <w:rPr>
                <w:rFonts w:hint="eastAsia" w:ascii="宋体" w:hAnsi="宋体" w:eastAsia="宋体" w:cs="宋体"/>
                <w:color w:val="auto"/>
                <w:szCs w:val="21"/>
                <w:highlight w:val="none"/>
                <w:lang w:val="en-US" w:eastAsia="zh-CN"/>
              </w:rPr>
              <w:t>，未提供或不满足项目要求得0分。</w:t>
            </w:r>
          </w:p>
        </w:tc>
      </w:tr>
      <w:tr w14:paraId="19CB4E3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restart"/>
            <w:tcBorders>
              <w:top w:val="single" w:color="auto" w:sz="4" w:space="0"/>
              <w:left w:val="single" w:color="auto" w:sz="4" w:space="0"/>
              <w:bottom w:val="single" w:color="auto" w:sz="4" w:space="0"/>
              <w:right w:val="single" w:color="auto" w:sz="4" w:space="0"/>
            </w:tcBorders>
            <w:vAlign w:val="center"/>
          </w:tcPr>
          <w:p w14:paraId="49A00F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2.2.2 (3)</w:t>
            </w:r>
          </w:p>
        </w:tc>
        <w:tc>
          <w:tcPr>
            <w:tcW w:w="14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0038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技术评审</w:t>
            </w:r>
          </w:p>
        </w:tc>
        <w:tc>
          <w:tcPr>
            <w:tcW w:w="3501" w:type="dxa"/>
            <w:tcBorders>
              <w:top w:val="single" w:color="auto" w:sz="4" w:space="0"/>
              <w:left w:val="single" w:color="auto" w:sz="4" w:space="0"/>
              <w:bottom w:val="single" w:color="auto" w:sz="4" w:space="0"/>
              <w:right w:val="single" w:color="auto" w:sz="4" w:space="0"/>
            </w:tcBorders>
            <w:vAlign w:val="center"/>
          </w:tcPr>
          <w:p w14:paraId="692AED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eastAsia="zh-CN"/>
              </w:rPr>
              <w:t>概述</w:t>
            </w:r>
          </w:p>
        </w:tc>
        <w:tc>
          <w:tcPr>
            <w:tcW w:w="1164" w:type="dxa"/>
            <w:tcBorders>
              <w:top w:val="single" w:color="auto" w:sz="4" w:space="0"/>
              <w:left w:val="single" w:color="auto" w:sz="4" w:space="0"/>
              <w:bottom w:val="single" w:color="auto" w:sz="4" w:space="0"/>
              <w:right w:val="single" w:color="auto" w:sz="4" w:space="0"/>
            </w:tcBorders>
            <w:vAlign w:val="center"/>
          </w:tcPr>
          <w:p w14:paraId="7DDE09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7</w:t>
            </w:r>
          </w:p>
        </w:tc>
        <w:tc>
          <w:tcPr>
            <w:tcW w:w="6313" w:type="dxa"/>
            <w:tcBorders>
              <w:top w:val="single" w:color="auto" w:sz="4" w:space="0"/>
              <w:left w:val="single" w:color="auto" w:sz="4" w:space="0"/>
              <w:bottom w:val="single" w:color="auto" w:sz="4" w:space="0"/>
              <w:right w:val="single" w:color="auto" w:sz="4" w:space="0"/>
            </w:tcBorders>
            <w:vAlign w:val="center"/>
          </w:tcPr>
          <w:p w14:paraId="65016C2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对项目总体认识、项目现状分析全面深刻，论述完整清晰；优秀的得6-7分，一般的得3-5</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分，差得</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1-2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分，未提供或不满足项目要求得0分。</w:t>
            </w:r>
          </w:p>
        </w:tc>
      </w:tr>
      <w:tr w14:paraId="57B06C9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single" w:color="auto" w:sz="4" w:space="0"/>
              <w:left w:val="single" w:color="auto" w:sz="4" w:space="0"/>
              <w:bottom w:val="single" w:color="auto" w:sz="4" w:space="0"/>
              <w:right w:val="single" w:color="auto" w:sz="4" w:space="0"/>
            </w:tcBorders>
            <w:vAlign w:val="center"/>
          </w:tcPr>
          <w:p w14:paraId="79549E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FB8C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3501" w:type="dxa"/>
            <w:tcBorders>
              <w:top w:val="single" w:color="auto" w:sz="4" w:space="0"/>
              <w:left w:val="single" w:color="auto" w:sz="4" w:space="0"/>
              <w:bottom w:val="single" w:color="auto" w:sz="4" w:space="0"/>
              <w:right w:val="single" w:color="auto" w:sz="4" w:space="0"/>
            </w:tcBorders>
            <w:vAlign w:val="center"/>
          </w:tcPr>
          <w:p w14:paraId="11B8DB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总体实施方案</w:t>
            </w:r>
          </w:p>
        </w:tc>
        <w:tc>
          <w:tcPr>
            <w:tcW w:w="1164" w:type="dxa"/>
            <w:tcBorders>
              <w:top w:val="single" w:color="auto" w:sz="4" w:space="0"/>
              <w:left w:val="single" w:color="auto" w:sz="4" w:space="0"/>
              <w:bottom w:val="single" w:color="auto" w:sz="4" w:space="0"/>
              <w:right w:val="single" w:color="auto" w:sz="4" w:space="0"/>
            </w:tcBorders>
            <w:vAlign w:val="center"/>
          </w:tcPr>
          <w:p w14:paraId="6051BD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7</w:t>
            </w:r>
          </w:p>
        </w:tc>
        <w:tc>
          <w:tcPr>
            <w:tcW w:w="6313" w:type="dxa"/>
            <w:tcBorders>
              <w:top w:val="single" w:color="auto" w:sz="4" w:space="0"/>
              <w:left w:val="single" w:color="auto" w:sz="4" w:space="0"/>
              <w:bottom w:val="single" w:color="auto" w:sz="4" w:space="0"/>
              <w:right w:val="single" w:color="auto" w:sz="4" w:space="0"/>
            </w:tcBorders>
            <w:vAlign w:val="center"/>
          </w:tcPr>
          <w:p w14:paraId="068C753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根据项目目标（质量、工期、造价）、项目总体实施方案、项目总体施工方案综合评分，优秀得6-7分，一般得3-5</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分，较差得</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1-2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分，未提供或不满足项目要求得0分。</w:t>
            </w:r>
          </w:p>
        </w:tc>
      </w:tr>
      <w:tr w14:paraId="52D4D2A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single" w:color="auto" w:sz="4" w:space="0"/>
              <w:left w:val="single" w:color="auto" w:sz="4" w:space="0"/>
              <w:bottom w:val="single" w:color="auto" w:sz="4" w:space="0"/>
              <w:right w:val="single" w:color="auto" w:sz="4" w:space="0"/>
            </w:tcBorders>
            <w:vAlign w:val="center"/>
          </w:tcPr>
          <w:p w14:paraId="79E4A9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4252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3501" w:type="dxa"/>
            <w:tcBorders>
              <w:top w:val="single" w:color="auto" w:sz="4" w:space="0"/>
              <w:left w:val="single" w:color="auto" w:sz="4" w:space="0"/>
              <w:bottom w:val="single" w:color="auto" w:sz="4" w:space="0"/>
              <w:right w:val="single" w:color="auto" w:sz="4" w:space="0"/>
            </w:tcBorders>
            <w:vAlign w:val="center"/>
          </w:tcPr>
          <w:p w14:paraId="521DF4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项目实施要点</w:t>
            </w:r>
          </w:p>
        </w:tc>
        <w:tc>
          <w:tcPr>
            <w:tcW w:w="1164" w:type="dxa"/>
            <w:tcBorders>
              <w:top w:val="single" w:color="auto" w:sz="4" w:space="0"/>
              <w:left w:val="single" w:color="auto" w:sz="4" w:space="0"/>
              <w:bottom w:val="single" w:color="auto" w:sz="4" w:space="0"/>
              <w:right w:val="single" w:color="auto" w:sz="4" w:space="0"/>
            </w:tcBorders>
            <w:vAlign w:val="center"/>
          </w:tcPr>
          <w:p w14:paraId="00FD58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7</w:t>
            </w:r>
          </w:p>
        </w:tc>
        <w:tc>
          <w:tcPr>
            <w:tcW w:w="6313" w:type="dxa"/>
            <w:tcBorders>
              <w:top w:val="single" w:color="auto" w:sz="4" w:space="0"/>
              <w:left w:val="single" w:color="auto" w:sz="4" w:space="0"/>
              <w:bottom w:val="single" w:color="auto" w:sz="4" w:space="0"/>
              <w:right w:val="single" w:color="auto" w:sz="4" w:space="0"/>
            </w:tcBorders>
            <w:vAlign w:val="center"/>
          </w:tcPr>
          <w:p w14:paraId="26F3554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根据项目组织实施要点、施工实施要点、创建优质工程措施综合评分，优秀得6-7分，一般得3-5</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分，较差得</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1-2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分，未提供或不满足项目要求得0分。</w:t>
            </w:r>
          </w:p>
        </w:tc>
      </w:tr>
      <w:tr w14:paraId="2E04E4C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single" w:color="auto" w:sz="4" w:space="0"/>
              <w:left w:val="single" w:color="auto" w:sz="4" w:space="0"/>
              <w:bottom w:val="single" w:color="auto" w:sz="4" w:space="0"/>
              <w:right w:val="single" w:color="auto" w:sz="4" w:space="0"/>
            </w:tcBorders>
            <w:vAlign w:val="center"/>
          </w:tcPr>
          <w:p w14:paraId="646564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CF37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3501" w:type="dxa"/>
            <w:tcBorders>
              <w:top w:val="single" w:color="auto" w:sz="4" w:space="0"/>
              <w:left w:val="single" w:color="auto" w:sz="4" w:space="0"/>
              <w:bottom w:val="single" w:color="auto" w:sz="4" w:space="0"/>
              <w:right w:val="single" w:color="auto" w:sz="4" w:space="0"/>
            </w:tcBorders>
            <w:vAlign w:val="center"/>
          </w:tcPr>
          <w:p w14:paraId="36B6E3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项目管理要点</w:t>
            </w:r>
          </w:p>
        </w:tc>
        <w:tc>
          <w:tcPr>
            <w:tcW w:w="1164" w:type="dxa"/>
            <w:tcBorders>
              <w:top w:val="single" w:color="auto" w:sz="4" w:space="0"/>
              <w:left w:val="single" w:color="auto" w:sz="4" w:space="0"/>
              <w:bottom w:val="single" w:color="auto" w:sz="4" w:space="0"/>
              <w:right w:val="single" w:color="auto" w:sz="4" w:space="0"/>
            </w:tcBorders>
            <w:vAlign w:val="center"/>
          </w:tcPr>
          <w:p w14:paraId="568F13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7</w:t>
            </w:r>
          </w:p>
        </w:tc>
        <w:tc>
          <w:tcPr>
            <w:tcW w:w="6313" w:type="dxa"/>
            <w:tcBorders>
              <w:top w:val="single" w:color="auto" w:sz="4" w:space="0"/>
              <w:left w:val="single" w:color="auto" w:sz="4" w:space="0"/>
              <w:bottom w:val="single" w:color="auto" w:sz="4" w:space="0"/>
              <w:right w:val="single" w:color="auto" w:sz="4" w:space="0"/>
            </w:tcBorders>
            <w:vAlign w:val="center"/>
          </w:tcPr>
          <w:p w14:paraId="3D38B70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根据项目施工管理、项目风险管理、项目进度管理、项目质量管理、项目安全管理、项目费用管理、项目职业健康与环境管理、项目资源管理、项目沟通与信息管理、项目合同档案管理、项目收尾管理综合评分，优秀得6-7分，一般得3-5</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分，较差得</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1-2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分，未提供或不满足项目要求得0分。</w:t>
            </w:r>
          </w:p>
        </w:tc>
      </w:tr>
      <w:tr w14:paraId="5400125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single" w:color="auto" w:sz="4" w:space="0"/>
              <w:left w:val="single" w:color="auto" w:sz="4" w:space="0"/>
              <w:bottom w:val="single" w:color="auto" w:sz="4" w:space="0"/>
              <w:right w:val="single" w:color="auto" w:sz="4" w:space="0"/>
            </w:tcBorders>
            <w:vAlign w:val="center"/>
          </w:tcPr>
          <w:p w14:paraId="71746C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3E03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3501" w:type="dxa"/>
            <w:tcBorders>
              <w:top w:val="single" w:color="auto" w:sz="4" w:space="0"/>
              <w:left w:val="single" w:color="auto" w:sz="4" w:space="0"/>
              <w:bottom w:val="single" w:color="auto" w:sz="4" w:space="0"/>
              <w:right w:val="single" w:color="auto" w:sz="4" w:space="0"/>
            </w:tcBorders>
            <w:vAlign w:val="center"/>
          </w:tcPr>
          <w:p w14:paraId="47ED78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应急预案保障措施</w:t>
            </w:r>
          </w:p>
        </w:tc>
        <w:tc>
          <w:tcPr>
            <w:tcW w:w="1164" w:type="dxa"/>
            <w:tcBorders>
              <w:top w:val="single" w:color="auto" w:sz="4" w:space="0"/>
              <w:left w:val="single" w:color="auto" w:sz="4" w:space="0"/>
              <w:bottom w:val="single" w:color="auto" w:sz="4" w:space="0"/>
              <w:right w:val="single" w:color="auto" w:sz="4" w:space="0"/>
            </w:tcBorders>
            <w:vAlign w:val="center"/>
          </w:tcPr>
          <w:p w14:paraId="7E5CB3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7</w:t>
            </w:r>
          </w:p>
        </w:tc>
        <w:tc>
          <w:tcPr>
            <w:tcW w:w="6313" w:type="dxa"/>
            <w:tcBorders>
              <w:top w:val="single" w:color="auto" w:sz="4" w:space="0"/>
              <w:left w:val="single" w:color="auto" w:sz="4" w:space="0"/>
              <w:bottom w:val="single" w:color="auto" w:sz="4" w:space="0"/>
              <w:right w:val="single" w:color="auto" w:sz="4" w:space="0"/>
            </w:tcBorders>
            <w:vAlign w:val="center"/>
          </w:tcPr>
          <w:p w14:paraId="0DC3A45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应急预案保障措施内容完整，针对性强，科学、合理且可行，可行性强得6-7分；一般的得3-5</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分；差得</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1-2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分，未提供或不满足项目要求得0分。</w:t>
            </w:r>
          </w:p>
        </w:tc>
      </w:tr>
      <w:tr w14:paraId="785D48D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vMerge w:val="continue"/>
            <w:tcBorders>
              <w:top w:val="single" w:color="auto" w:sz="4" w:space="0"/>
              <w:left w:val="single" w:color="auto" w:sz="4" w:space="0"/>
              <w:bottom w:val="single" w:color="auto" w:sz="4" w:space="0"/>
              <w:right w:val="single" w:color="auto" w:sz="4" w:space="0"/>
            </w:tcBorders>
            <w:vAlign w:val="center"/>
          </w:tcPr>
          <w:p w14:paraId="1ADC86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14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2A14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p>
        </w:tc>
        <w:tc>
          <w:tcPr>
            <w:tcW w:w="3501" w:type="dxa"/>
            <w:tcBorders>
              <w:top w:val="single" w:color="auto" w:sz="4" w:space="0"/>
              <w:left w:val="single" w:color="auto" w:sz="4" w:space="0"/>
              <w:bottom w:val="single" w:color="auto" w:sz="4" w:space="0"/>
              <w:right w:val="single" w:color="auto" w:sz="4" w:space="0"/>
            </w:tcBorders>
            <w:vAlign w:val="center"/>
          </w:tcPr>
          <w:p w14:paraId="2FC05F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highlight w:val="none"/>
              </w:rPr>
            </w:pPr>
            <w:r>
              <w:rPr>
                <w:rFonts w:hint="eastAsia" w:ascii="宋体" w:hAnsi="宋体" w:eastAsia="宋体" w:cs="宋体"/>
                <w:color w:val="auto"/>
                <w:highlight w:val="none"/>
                <w:lang w:eastAsia="zh-CN"/>
              </w:rPr>
              <w:t>合理化建议</w:t>
            </w:r>
          </w:p>
        </w:tc>
        <w:tc>
          <w:tcPr>
            <w:tcW w:w="1164" w:type="dxa"/>
            <w:tcBorders>
              <w:top w:val="single" w:color="auto" w:sz="4" w:space="0"/>
              <w:left w:val="single" w:color="auto" w:sz="4" w:space="0"/>
              <w:bottom w:val="single" w:color="auto" w:sz="4" w:space="0"/>
              <w:right w:val="single" w:color="auto" w:sz="4" w:space="0"/>
            </w:tcBorders>
            <w:vAlign w:val="center"/>
          </w:tcPr>
          <w:p w14:paraId="244326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5</w:t>
            </w:r>
          </w:p>
        </w:tc>
        <w:tc>
          <w:tcPr>
            <w:tcW w:w="6313" w:type="dxa"/>
            <w:tcBorders>
              <w:top w:val="single" w:color="auto" w:sz="4" w:space="0"/>
              <w:left w:val="single" w:color="auto" w:sz="4" w:space="0"/>
              <w:bottom w:val="single" w:color="auto" w:sz="4" w:space="0"/>
              <w:right w:val="single" w:color="auto" w:sz="4" w:space="0"/>
            </w:tcBorders>
            <w:vAlign w:val="center"/>
          </w:tcPr>
          <w:p w14:paraId="63D9B6F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highlight w:val="none"/>
              </w:rPr>
            </w:pPr>
            <w:r>
              <w:rPr>
                <w:rFonts w:hint="eastAsia" w:ascii="宋体" w:hAnsi="宋体" w:eastAsia="宋体" w:cs="宋体"/>
                <w:color w:val="auto"/>
                <w:szCs w:val="21"/>
                <w:highlight w:val="none"/>
                <w:lang w:val="en-US" w:eastAsia="zh-CN"/>
              </w:rPr>
              <w:t>合理化建议全面可行、有针对性，服务及其他优惠条件承诺具体明确；针对性强，科学、合理且可行，可行性强得4-5分；一般的得</w:t>
            </w:r>
            <w:r>
              <w:rPr>
                <w:rFonts w:hint="eastAsia" w:ascii="宋体" w:hAnsi="宋体" w:cs="宋体"/>
                <w:color w:val="auto"/>
                <w:szCs w:val="21"/>
                <w:highlight w:val="none"/>
                <w:lang w:val="en-US" w:eastAsia="zh-CN"/>
              </w:rPr>
              <w:t>2-3.9</w:t>
            </w:r>
            <w:r>
              <w:rPr>
                <w:rFonts w:hint="eastAsia" w:ascii="宋体" w:hAnsi="宋体" w:eastAsia="宋体" w:cs="宋体"/>
                <w:color w:val="auto"/>
                <w:szCs w:val="21"/>
                <w:highlight w:val="none"/>
                <w:lang w:val="en-US" w:eastAsia="zh-CN"/>
              </w:rPr>
              <w:t>分；差得</w:t>
            </w:r>
            <w:r>
              <w:rPr>
                <w:rFonts w:hint="eastAsia" w:ascii="宋体" w:hAnsi="宋体" w:cs="宋体"/>
                <w:color w:val="auto"/>
                <w:szCs w:val="21"/>
                <w:highlight w:val="none"/>
                <w:lang w:val="en-US" w:eastAsia="zh-CN"/>
              </w:rPr>
              <w:t>0.1-1.9</w:t>
            </w:r>
            <w:r>
              <w:rPr>
                <w:rFonts w:hint="eastAsia" w:ascii="宋体" w:hAnsi="宋体" w:eastAsia="宋体" w:cs="宋体"/>
                <w:color w:val="auto"/>
                <w:szCs w:val="21"/>
                <w:highlight w:val="none"/>
                <w:lang w:val="en-US" w:eastAsia="zh-CN"/>
              </w:rPr>
              <w:t>分，未提供或不满足项目要求得0分。</w:t>
            </w:r>
          </w:p>
        </w:tc>
      </w:tr>
      <w:tr w14:paraId="50172B5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073" w:type="dxa"/>
            <w:tcBorders>
              <w:top w:val="single" w:color="auto" w:sz="4" w:space="0"/>
              <w:left w:val="single" w:color="auto" w:sz="4" w:space="0"/>
              <w:bottom w:val="single" w:color="auto" w:sz="4" w:space="0"/>
              <w:right w:val="single" w:color="auto" w:sz="4" w:space="0"/>
            </w:tcBorders>
            <w:shd w:val="clear" w:color="auto" w:fill="auto"/>
            <w:vAlign w:val="center"/>
          </w:tcPr>
          <w:p w14:paraId="5971BD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2.2.2 (4)</w:t>
            </w:r>
          </w:p>
        </w:tc>
        <w:tc>
          <w:tcPr>
            <w:tcW w:w="1484" w:type="dxa"/>
            <w:tcBorders>
              <w:top w:val="single" w:color="auto" w:sz="4" w:space="0"/>
              <w:left w:val="single" w:color="auto" w:sz="4" w:space="0"/>
              <w:bottom w:val="single" w:color="auto" w:sz="4" w:space="0"/>
              <w:right w:val="single" w:color="auto" w:sz="4" w:space="0"/>
            </w:tcBorders>
            <w:vAlign w:val="center"/>
          </w:tcPr>
          <w:p w14:paraId="6C7E19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rPr>
            </w:pPr>
            <w:r>
              <w:rPr>
                <w:rFonts w:hint="eastAsia" w:ascii="宋体" w:hAnsi="宋体" w:eastAsia="宋体" w:cs="宋体"/>
                <w:color w:val="000000"/>
              </w:rPr>
              <w:t>其他评审</w:t>
            </w:r>
          </w:p>
        </w:tc>
        <w:tc>
          <w:tcPr>
            <w:tcW w:w="3501" w:type="dxa"/>
            <w:tcBorders>
              <w:top w:val="single" w:color="auto" w:sz="4" w:space="0"/>
              <w:left w:val="single" w:color="auto" w:sz="4" w:space="0"/>
              <w:bottom w:val="single" w:color="auto" w:sz="4" w:space="0"/>
              <w:right w:val="single" w:color="auto" w:sz="4" w:space="0"/>
            </w:tcBorders>
            <w:vAlign w:val="center"/>
          </w:tcPr>
          <w:p w14:paraId="4A40C3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w:t>
            </w:r>
          </w:p>
        </w:tc>
        <w:tc>
          <w:tcPr>
            <w:tcW w:w="1164" w:type="dxa"/>
            <w:tcBorders>
              <w:top w:val="single" w:color="auto" w:sz="4" w:space="0"/>
              <w:left w:val="single" w:color="auto" w:sz="4" w:space="0"/>
              <w:bottom w:val="single" w:color="auto" w:sz="4" w:space="0"/>
              <w:right w:val="single" w:color="auto" w:sz="4" w:space="0"/>
            </w:tcBorders>
            <w:vAlign w:val="center"/>
          </w:tcPr>
          <w:p w14:paraId="130D96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w:t>
            </w:r>
          </w:p>
        </w:tc>
        <w:tc>
          <w:tcPr>
            <w:tcW w:w="6313" w:type="dxa"/>
            <w:tcBorders>
              <w:top w:val="single" w:color="auto" w:sz="4" w:space="0"/>
              <w:left w:val="single" w:color="auto" w:sz="4" w:space="0"/>
              <w:bottom w:val="single" w:color="auto" w:sz="4" w:space="0"/>
              <w:right w:val="single" w:color="auto" w:sz="4" w:space="0"/>
            </w:tcBorders>
            <w:vAlign w:val="center"/>
          </w:tcPr>
          <w:p w14:paraId="201F1C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color w:val="000000"/>
                <w:lang w:val="en-US" w:eastAsia="zh-CN"/>
              </w:rPr>
            </w:pPr>
            <w:r>
              <w:rPr>
                <w:rFonts w:hint="eastAsia" w:ascii="宋体" w:hAnsi="宋体" w:eastAsia="宋体" w:cs="宋体"/>
                <w:color w:val="000000"/>
                <w:lang w:val="en-US" w:eastAsia="zh-CN"/>
              </w:rPr>
              <w:t>/</w:t>
            </w:r>
          </w:p>
        </w:tc>
      </w:tr>
    </w:tbl>
    <w:p w14:paraId="186208DC">
      <w:pPr>
        <w:spacing w:after="280" w:afterAutospacing="1"/>
        <w:rPr>
          <w:color w:val="000000"/>
        </w:rPr>
      </w:pPr>
    </w:p>
    <w:p w14:paraId="156DD63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0D394F"/>
    <w:rsid w:val="230B53CA"/>
    <w:rsid w:val="2CC969F8"/>
    <w:rsid w:val="4FE47521"/>
    <w:rsid w:val="64972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overflowPunct w:val="0"/>
      <w:adjustRightInd w:val="0"/>
      <w:snapToGrid w:val="0"/>
      <w:spacing w:before="340" w:after="330"/>
      <w:jc w:val="center"/>
      <w:outlineLvl w:val="0"/>
    </w:pPr>
    <w:rPr>
      <w:rFonts w:ascii="宋体" w:hAnsi="宋体"/>
      <w:b/>
      <w:kern w:val="0"/>
      <w:sz w:val="44"/>
      <w:szCs w:val="44"/>
      <w:lang w:val="zh-CN"/>
    </w:rPr>
  </w:style>
  <w:style w:type="paragraph" w:styleId="3">
    <w:name w:val="heading 2"/>
    <w:basedOn w:val="1"/>
    <w:next w:val="1"/>
    <w:qFormat/>
    <w:uiPriority w:val="0"/>
    <w:pPr>
      <w:spacing w:line="600" w:lineRule="exact"/>
      <w:contextualSpacing/>
      <w:jc w:val="center"/>
      <w:outlineLvl w:val="1"/>
    </w:pPr>
    <w:rPr>
      <w:rFonts w:ascii="宋体" w:hAnsi="宋体"/>
      <w:b/>
      <w:bCs/>
      <w:sz w:val="28"/>
      <w:szCs w:val="28"/>
      <w:lang w:val="zh-CN"/>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after="120"/>
    </w:pPr>
    <w:rPr>
      <w:rFonts w:ascii="宋体" w:hAnsi="宋体"/>
      <w:szCs w:val="24"/>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2026-03-23T02:01:10Z</dcterms:created>
  <dc:creator>Administrator</dc:creator>
  <cp:lastModifiedBy>Deng</cp:lastModifiedBy>
  <dcterms:modified xsi:type="dcterms:W3CDTF">2026-03-23T02:01:55Z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eyJoZGlkIjoiMzE1N2M4ZGM0NWNmNzJmZDM0ZTk5MTYzNTE3ODUxYTQiLCJ1c2VySWQiOiI5Mzk1MTEzMDQifQ==</vt:lpwstr>
  </property>
  <property fmtid="{D5CDD505-2E9C-101B-9397-08002B2CF9AE}" pid="4" name="ICV">
    <vt:lpwstr>2B2C3E1D82B34CA89BAB2DFE3C6C8E09_12</vt:lpwstr>
  </property>
</Properties>
</file>