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95183">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04246620">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一、项目名称</w:t>
      </w:r>
    </w:p>
    <w:p w14:paraId="3D597AD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2026年度新增建设用地报批技术服务</w:t>
      </w:r>
      <w:r>
        <w:rPr>
          <w:rFonts w:hint="eastAsia" w:ascii="仿宋_GB2312" w:hAnsi="仿宋_GB2312" w:eastAsia="仿宋_GB2312" w:cs="仿宋_GB2312"/>
          <w:sz w:val="32"/>
          <w:szCs w:val="32"/>
        </w:rPr>
        <w:t>》</w:t>
      </w:r>
    </w:p>
    <w:p w14:paraId="584D84F0">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二、项目概述</w:t>
      </w:r>
    </w:p>
    <w:p w14:paraId="34C01C3F">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自然资源厅进一步深化建设用地集中审批改革工作方案（试行）》（鄂自然资发〔2024〕11号）、《市人民政府关于印发武汉市承接农用地转用和土地征收审批权工作方案的通知》（武政〔2024〕10号）、《湖北省土地征收工作程序规定》（鄂自然资发〔2024〕22号）、《进一步深化建设用地集中审批改革工作方案（试行）》（武自然资发〔2025〕21号）等文件要求开展2026年度新增建设用地报批技术服务。</w:t>
      </w:r>
    </w:p>
    <w:p w14:paraId="76918224">
      <w:pPr>
        <w:numPr>
          <w:ilvl w:val="0"/>
          <w:numId w:val="1"/>
        </w:numPr>
        <w:adjustRightInd w:val="0"/>
        <w:snapToGrid w:val="0"/>
        <w:spacing w:line="36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工作内容</w:t>
      </w:r>
    </w:p>
    <w:p w14:paraId="0DB0C7DD">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1.全市新增建设用地报批技术审查服务。按照《武汉市建设用地审查要点》，对2026年各区上报的新增建设用地报件开展规划、用途管制、耕地保护、节约集约、权属地类等情况的全面审查，并出具技术审查报告。</w:t>
      </w:r>
    </w:p>
    <w:p w14:paraId="29FBB802">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2.建设用地报批动态监测。按年度、季度或月度，按管理区，按用地类型或其他要求，开展全市建设用地报批动态监测，统计分析不同口径、不同需求的报批进展数据，并形成年度分析报告等。</w:t>
      </w:r>
    </w:p>
    <w:p w14:paraId="6B60A49D">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3.重大项目跟踪服务。开展国家、省、市重大建设项目正式用地、调整用地、先行用地指导及进展跟踪等技术服务。</w:t>
      </w:r>
    </w:p>
    <w:p w14:paraId="59CE8D40">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4.协助新增建设用地有偿使用费和土地利用计划管理。核查项目新增费标准，跟踪缴纳情况，建立台账定期报送省厅。统计计划使用情况，做好计划台账。批文下达后完成项目归档和备案。</w:t>
      </w:r>
    </w:p>
    <w:p w14:paraId="338EB21F">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5.建新区实施方案技术审查。对各区申报的城乡建设用地增减挂钩建新区实施方案开展规划、用途管制、耕地保护、权属地类等情况进行技术审查。</w:t>
      </w:r>
    </w:p>
    <w:p w14:paraId="0EFAA5D8">
      <w:pPr>
        <w:wordWrap w:val="0"/>
        <w:adjustRightInd w:val="0"/>
        <w:snapToGrid w:val="0"/>
        <w:spacing w:line="360" w:lineRule="auto"/>
        <w:ind w:firstLine="640" w:firstLineChars="200"/>
        <w:rPr>
          <w:rFonts w:hint="eastAsia"/>
          <w:lang w:eastAsia="zh-CN"/>
        </w:rPr>
      </w:pPr>
      <w:r>
        <w:rPr>
          <w:rFonts w:hint="eastAsia" w:ascii="仿宋_GB2312" w:hAnsi="仿宋_GB2312" w:eastAsia="仿宋_GB2312" w:cs="仿宋_GB2312"/>
          <w:sz w:val="32"/>
          <w:szCs w:val="32"/>
        </w:rPr>
        <w:t>6.建设用地“双随机一公开”抽查技术支撑。开展2026年度部、省建设用地“双随机一公开”抽查项目资料整理，核对及上报。</w:t>
      </w:r>
    </w:p>
    <w:p w14:paraId="14CED02C">
      <w:pPr>
        <w:adjustRightInd w:val="0"/>
        <w:snapToGrid w:val="0"/>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服务团队人员要求</w:t>
      </w:r>
    </w:p>
    <w:p w14:paraId="4E7644B4">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宜配置具有如下能力的人员：</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145"/>
        <w:gridCol w:w="5153"/>
      </w:tblGrid>
      <w:tr w14:paraId="3905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40" w:type="dxa"/>
            <w:vAlign w:val="center"/>
          </w:tcPr>
          <w:p w14:paraId="54A160EB">
            <w:pPr>
              <w:wordWrap w:val="0"/>
              <w:adjustRightInd w:val="0"/>
              <w:snapToGrid w:val="0"/>
              <w:spacing w:line="360" w:lineRule="auto"/>
              <w:jc w:val="center"/>
              <w:rPr>
                <w:rFonts w:hint="eastAsia" w:ascii="仿宋_GB2312" w:hAnsi="仿宋_GB2312" w:eastAsia="仿宋_GB2312" w:cs="仿宋_GB2312"/>
                <w:sz w:val="32"/>
                <w:szCs w:val="32"/>
              </w:rPr>
            </w:pPr>
            <w:bookmarkStart w:id="0" w:name="_Toc10354"/>
            <w:bookmarkStart w:id="1" w:name="_Toc26094"/>
            <w:bookmarkStart w:id="2" w:name="_Toc741"/>
            <w:bookmarkStart w:id="3" w:name="_Toc28294"/>
            <w:r>
              <w:rPr>
                <w:rFonts w:hint="eastAsia" w:ascii="仿宋_GB2312" w:hAnsi="仿宋_GB2312" w:eastAsia="仿宋_GB2312" w:cs="仿宋_GB2312"/>
                <w:sz w:val="32"/>
                <w:szCs w:val="32"/>
              </w:rPr>
              <w:t>序号</w:t>
            </w:r>
          </w:p>
        </w:tc>
        <w:tc>
          <w:tcPr>
            <w:tcW w:w="2145" w:type="dxa"/>
            <w:vAlign w:val="center"/>
          </w:tcPr>
          <w:p w14:paraId="57EB9187">
            <w:pPr>
              <w:wordWrap w:val="0"/>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人员名称</w:t>
            </w:r>
          </w:p>
        </w:tc>
        <w:tc>
          <w:tcPr>
            <w:tcW w:w="5153" w:type="dxa"/>
            <w:vAlign w:val="center"/>
          </w:tcPr>
          <w:p w14:paraId="1C58FB22">
            <w:pPr>
              <w:wordWrap w:val="0"/>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37DC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40" w:type="dxa"/>
            <w:vAlign w:val="center"/>
          </w:tcPr>
          <w:p w14:paraId="12ED8C6F">
            <w:pPr>
              <w:wordWrap w:val="0"/>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145" w:type="dxa"/>
            <w:vAlign w:val="center"/>
          </w:tcPr>
          <w:p w14:paraId="2B676C41">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tc>
        <w:tc>
          <w:tcPr>
            <w:tcW w:w="5153" w:type="dxa"/>
            <w:vAlign w:val="center"/>
          </w:tcPr>
          <w:p w14:paraId="4B937EA5">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p w14:paraId="520045EE">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1.项目负责人宜具备土地规划、城乡规划等与项目相关专业副高级（或以上）职称；</w:t>
            </w:r>
          </w:p>
          <w:p w14:paraId="28EDA107">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2.项目负责人宜具备中华人民共和国注册城乡规划师资格证书。</w:t>
            </w:r>
          </w:p>
        </w:tc>
      </w:tr>
      <w:tr w14:paraId="1B70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040" w:type="dxa"/>
            <w:vAlign w:val="center"/>
          </w:tcPr>
          <w:p w14:paraId="19A401EA">
            <w:pPr>
              <w:wordWrap w:val="0"/>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145" w:type="dxa"/>
            <w:vAlign w:val="center"/>
          </w:tcPr>
          <w:p w14:paraId="17F90579">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项目团队的人员（不含项目负责人）</w:t>
            </w:r>
          </w:p>
        </w:tc>
        <w:tc>
          <w:tcPr>
            <w:tcW w:w="5153" w:type="dxa"/>
            <w:vAlign w:val="center"/>
          </w:tcPr>
          <w:p w14:paraId="5B684920">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项目团队的人员（不含项目负责人）：</w:t>
            </w:r>
          </w:p>
          <w:p w14:paraId="7492E07B">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1.项目团队宜不少于6人；</w:t>
            </w:r>
          </w:p>
          <w:p w14:paraId="3F676EB4">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2.项目团队中宜配备具有土地规划、城乡规划等与项目相关专业副高级（或以上）职称的人员； </w:t>
            </w:r>
          </w:p>
          <w:p w14:paraId="557FCB17">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3.项目团队中宜配备具有中华人民共和国注册城乡规划师资格证书的人员；</w:t>
            </w:r>
          </w:p>
          <w:p w14:paraId="3C4E9CF1">
            <w:pPr>
              <w:wordWrap w:val="0"/>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4.项目团队中宜配备具有法律职业资格证书的人员（此类人员可外聘）</w:t>
            </w:r>
          </w:p>
        </w:tc>
      </w:tr>
      <w:bookmarkEnd w:id="0"/>
      <w:bookmarkEnd w:id="1"/>
      <w:bookmarkEnd w:id="2"/>
      <w:bookmarkEnd w:id="3"/>
    </w:tbl>
    <w:p w14:paraId="6BF40F92">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本项目涉及报批数据的属性、空间和文本信息需进行建库管理，形成的电子成果须与湖北省自然资源厅、武汉市自然资源和城乡建设局的政务系统进行无缝对接，且存在数据保密等相关要求。供应商在人员配置、应急方案、内控管理等方案应按如下要求提供响应方案及配置承诺：</w:t>
      </w:r>
    </w:p>
    <w:p w14:paraId="0D4C2E8B">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本项目服务期内应派遣不少于6名熟练技术人员自带工作所需设备，在采购人指定地点驻场提供技术服务，且在特殊情况（报批业务集中等情况）下能够迅速（24小时内）增配技术人员，确保工作顺利开展；供应商应对服务过程中获悉的非公开或涉密数据严格执行相关保密政策，供应商对其派遣的所有项目组人员需遵守采购人提出的数据保密相关规定、应进行相关保密培训，并提供相关保密制度。</w:t>
      </w:r>
    </w:p>
    <w:p w14:paraId="69E80FEC">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应严格按照招标文件中承诺的拟派人员名单开展工作，在特殊情况下可以用同等资历的人员代替，但应事先得到采购人的批准；采购人有权要求中标更换不合格的服务人员，成交供应商应接受。</w:t>
      </w:r>
    </w:p>
    <w:p w14:paraId="4D8FE727">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拟派人员在服务工作中必须严格遵守执业规则，对资料及数据严格保密。</w:t>
      </w:r>
    </w:p>
    <w:p w14:paraId="7E90B7DD">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（四）如采购人认为</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投入的工作人员数量、业务水平、专业配置等不能满足本项目实际工作需要时，有权要求</w:t>
      </w:r>
      <w:r>
        <w:rPr>
          <w:rFonts w:hint="eastAsia" w:ascii="仿宋_GB2312" w:hAnsi="仿宋_GB2312" w:eastAsia="仿宋_GB2312" w:cs="仿宋_GB2312"/>
          <w:sz w:val="32"/>
          <w:szCs w:val="32"/>
          <w:lang w:eastAsia="zh-CN"/>
        </w:rPr>
        <w:t>成交供应商</w:t>
      </w:r>
      <w:r>
        <w:rPr>
          <w:rFonts w:hint="eastAsia" w:ascii="仿宋_GB2312" w:hAnsi="仿宋_GB2312" w:eastAsia="仿宋_GB2312" w:cs="仿宋_GB2312"/>
          <w:sz w:val="32"/>
          <w:szCs w:val="32"/>
        </w:rPr>
        <w:t>及时调配或增加符合资格要求的人员，所增加人员的工资、奖金、补贴、加班费、办公费、差旅费、管理费等所有费用已包括在报价中。</w:t>
      </w:r>
    </w:p>
    <w:p w14:paraId="4644446A">
      <w:pPr>
        <w:adjustRightInd w:val="0"/>
        <w:snapToGrid w:val="0"/>
        <w:spacing w:line="360"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项目实施管理要求</w:t>
      </w:r>
    </w:p>
    <w:p w14:paraId="7ABE7DE0">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（一）供应商应按下列项目管理实施要求，编制本项目质量、进度管控方案，并结合供应商内部控制制度对项目实施具体环节、人员等要素予以管控，以保障项目顺利推进。</w:t>
      </w:r>
    </w:p>
    <w:p w14:paraId="3387FAE8">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1、质量控制方案</w:t>
      </w:r>
    </w:p>
    <w:p w14:paraId="1935BB87">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lang w:eastAsia="zh-CN"/>
        </w:rPr>
        <w:t>供应商</w:t>
      </w:r>
      <w:r>
        <w:rPr>
          <w:rFonts w:hint="eastAsia" w:ascii="仿宋_GB2312" w:hAnsi="宋体" w:eastAsia="仿宋_GB2312"/>
          <w:sz w:val="32"/>
          <w:szCs w:val="32"/>
        </w:rPr>
        <w:t>应根据项目需求提供质量控制方案，包括不限于如下：</w:t>
      </w:r>
    </w:p>
    <w:p w14:paraId="63F29F77">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eastAsia="zh-CN"/>
        </w:rPr>
        <w:t>供应商</w:t>
      </w:r>
      <w:r>
        <w:rPr>
          <w:rFonts w:hint="eastAsia" w:ascii="仿宋_GB2312" w:hAnsi="宋体" w:eastAsia="仿宋_GB2312"/>
          <w:sz w:val="32"/>
          <w:szCs w:val="32"/>
        </w:rPr>
        <w:t>单位的质量控制制度；</w:t>
      </w:r>
    </w:p>
    <w:p w14:paraId="24EF67DA">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eastAsia="zh-CN"/>
        </w:rPr>
        <w:t>供应商</w:t>
      </w:r>
      <w:r>
        <w:rPr>
          <w:rFonts w:hint="eastAsia" w:ascii="仿宋_GB2312" w:hAnsi="宋体" w:eastAsia="仿宋_GB2312"/>
          <w:sz w:val="32"/>
          <w:szCs w:val="32"/>
        </w:rPr>
        <w:t>单位的技术管理和质量保证体系；</w:t>
      </w:r>
    </w:p>
    <w:p w14:paraId="6F84CF78">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(3)本项目各流程节点质量控制措施；</w:t>
      </w:r>
    </w:p>
    <w:p w14:paraId="279C62B2">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2、进度计划及控制</w:t>
      </w:r>
    </w:p>
    <w:p w14:paraId="73AA7D2B">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lang w:eastAsia="zh-CN"/>
        </w:rPr>
        <w:t>供应商</w:t>
      </w:r>
      <w:r>
        <w:rPr>
          <w:rFonts w:hint="eastAsia" w:ascii="仿宋_GB2312" w:hAnsi="宋体" w:eastAsia="仿宋_GB2312"/>
          <w:sz w:val="32"/>
          <w:szCs w:val="32"/>
        </w:rPr>
        <w:t>应根据项目进度计划需求提供进度控制方案，包括不限于如下：</w:t>
      </w:r>
    </w:p>
    <w:p w14:paraId="3F66CB3B">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eastAsia="zh-CN"/>
        </w:rPr>
        <w:t>供应商</w:t>
      </w:r>
      <w:r>
        <w:rPr>
          <w:rFonts w:hint="eastAsia" w:ascii="仿宋_GB2312" w:hAnsi="宋体" w:eastAsia="仿宋_GB2312"/>
          <w:sz w:val="32"/>
          <w:szCs w:val="32"/>
        </w:rPr>
        <w:t>进度服务承诺；</w:t>
      </w:r>
    </w:p>
    <w:p w14:paraId="1F3B2542">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eastAsia="zh-CN"/>
        </w:rPr>
        <w:t>供应商</w:t>
      </w:r>
      <w:r>
        <w:rPr>
          <w:rFonts w:hint="eastAsia" w:ascii="仿宋_GB2312" w:hAnsi="宋体" w:eastAsia="仿宋_GB2312"/>
          <w:sz w:val="32"/>
          <w:szCs w:val="32"/>
        </w:rPr>
        <w:t>审查各节点控制措施及提高审查效率的保障方案；</w:t>
      </w:r>
    </w:p>
    <w:p w14:paraId="5BA914DC">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eastAsia="zh-CN"/>
        </w:rPr>
        <w:t>供应商</w:t>
      </w:r>
      <w:r>
        <w:rPr>
          <w:rFonts w:hint="eastAsia" w:ascii="仿宋_GB2312" w:hAnsi="宋体" w:eastAsia="仿宋_GB2312"/>
          <w:sz w:val="32"/>
          <w:szCs w:val="32"/>
        </w:rPr>
        <w:t>其他计划进度控制措施。</w:t>
      </w:r>
    </w:p>
    <w:p w14:paraId="7B320C64">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3、服务承诺</w:t>
      </w:r>
    </w:p>
    <w:p w14:paraId="5482E493">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lang w:eastAsia="zh-CN"/>
        </w:rPr>
        <w:t>供应商</w:t>
      </w:r>
      <w:r>
        <w:rPr>
          <w:rFonts w:hint="eastAsia" w:ascii="仿宋_GB2312" w:hAnsi="宋体" w:eastAsia="仿宋_GB2312"/>
          <w:sz w:val="32"/>
          <w:szCs w:val="32"/>
        </w:rPr>
        <w:t>应根据项目需求提供服务承诺方案，包括不限于如下：</w:t>
      </w:r>
    </w:p>
    <w:p w14:paraId="15DDE5F0">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(1)负责做好项目技术服务等相关工作的服务能力及承诺；</w:t>
      </w:r>
    </w:p>
    <w:p w14:paraId="56C58EA4">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(2)中间成果方案修改需求响应及后续跟踪服务承诺。</w:t>
      </w:r>
    </w:p>
    <w:p w14:paraId="21807B6A">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4、保密承诺</w:t>
      </w:r>
    </w:p>
    <w:p w14:paraId="0159F31C">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lang w:eastAsia="zh-CN"/>
        </w:rPr>
        <w:t>成交供应商</w:t>
      </w:r>
      <w:r>
        <w:rPr>
          <w:rFonts w:hint="eastAsia" w:ascii="仿宋_GB2312" w:hAnsi="宋体" w:eastAsia="仿宋_GB2312"/>
          <w:sz w:val="32"/>
          <w:szCs w:val="32"/>
        </w:rPr>
        <w:t>应对本项目的相关资料、过程分析内容和最终项目成果保密。</w:t>
      </w:r>
    </w:p>
    <w:p w14:paraId="4C99F859">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该项目成果的知识产权归属采购人所有。如</w:t>
      </w:r>
      <w:r>
        <w:rPr>
          <w:rFonts w:hint="eastAsia" w:ascii="仿宋_GB2312" w:hAnsi="宋体" w:eastAsia="仿宋_GB2312"/>
          <w:sz w:val="32"/>
          <w:szCs w:val="32"/>
          <w:lang w:eastAsia="zh-CN"/>
        </w:rPr>
        <w:t>成交供应商</w:t>
      </w:r>
      <w:r>
        <w:rPr>
          <w:rFonts w:hint="eastAsia" w:ascii="仿宋_GB2312" w:hAnsi="宋体" w:eastAsia="仿宋_GB2312"/>
          <w:sz w:val="32"/>
          <w:szCs w:val="32"/>
        </w:rPr>
        <w:t>需向社会公开发布与本项目成果相关的内容，须经上述单位书面同意后方可使用。</w:t>
      </w:r>
    </w:p>
    <w:p w14:paraId="62157599">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5、验收要求</w:t>
      </w:r>
    </w:p>
    <w:p w14:paraId="7A35CD29">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(1)符合国家或地方其他相关的法律、法规、规范和条例；</w:t>
      </w:r>
    </w:p>
    <w:p w14:paraId="7DA197E0">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)按要求提交项目成果，并按有关会议意见修改完善。</w:t>
      </w:r>
    </w:p>
    <w:p w14:paraId="20A2E542">
      <w:pPr>
        <w:adjustRightInd w:val="0"/>
        <w:snapToGrid w:val="0"/>
        <w:spacing w:line="36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六、商务要求</w:t>
      </w:r>
    </w:p>
    <w:p w14:paraId="636D24E9">
      <w:pPr>
        <w:adjustRightInd w:val="0"/>
        <w:snapToGrid w:val="0"/>
        <w:spacing w:line="360" w:lineRule="auto"/>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（一）服务期：2026年12月31日前完成全部工作内容并通过采购人验收。</w:t>
      </w:r>
    </w:p>
    <w:p w14:paraId="4F3F0F9B">
      <w:pPr>
        <w:adjustRightInd w:val="0"/>
        <w:snapToGrid w:val="0"/>
        <w:spacing w:line="360" w:lineRule="auto"/>
        <w:ind w:firstLine="64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（二）要求中标人接到任务通知后，需在12小时内到达指定场所作业；在任务紧急的情况下，24小时内能够及时调配技术力量，并在指定时间能完成相关工作。</w:t>
      </w:r>
    </w:p>
    <w:p w14:paraId="036DA24D">
      <w:pPr>
        <w:adjustRightInd w:val="0"/>
        <w:snapToGrid w:val="0"/>
        <w:spacing w:line="360" w:lineRule="auto"/>
        <w:ind w:firstLine="640"/>
        <w:rPr>
          <w:rFonts w:hint="eastAsia" w:ascii="黑体" w:hAnsi="黑体" w:eastAsia="黑体" w:cs="黑体"/>
          <w:sz w:val="32"/>
          <w:szCs w:val="32"/>
          <w:lang w:val="en-US" w:eastAsia="zh-CN"/>
        </w:rPr>
      </w:pPr>
      <w:r>
        <w:rPr>
          <w:rFonts w:hint="eastAsia" w:ascii="仿宋_GB2312" w:hAnsi="宋体" w:eastAsia="仿宋_GB2312"/>
          <w:sz w:val="32"/>
          <w:szCs w:val="32"/>
          <w:lang w:val="en-US" w:eastAsia="zh-CN"/>
        </w:rPr>
        <w:t>（三）所有项目组人员需遵守数据保密相关规定。</w:t>
      </w:r>
    </w:p>
    <w:p w14:paraId="2D7FAB71">
      <w:pPr>
        <w:adjustRightInd w:val="0"/>
        <w:snapToGrid w:val="0"/>
        <w:spacing w:line="360" w:lineRule="auto"/>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9DF86"/>
    <w:multiLevelType w:val="singleLevel"/>
    <w:tmpl w:val="2049DF8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DU0ZGRhM2JlMDQ3MzAwNjE0ZWY4N2M4MjUyOWYifQ=="/>
  </w:docVars>
  <w:rsids>
    <w:rsidRoot w:val="27A30F50"/>
    <w:rsid w:val="00012947"/>
    <w:rsid w:val="00051C90"/>
    <w:rsid w:val="00095EE8"/>
    <w:rsid w:val="000B34CA"/>
    <w:rsid w:val="00104E6E"/>
    <w:rsid w:val="00117712"/>
    <w:rsid w:val="001222E4"/>
    <w:rsid w:val="00127DEF"/>
    <w:rsid w:val="00155A13"/>
    <w:rsid w:val="001B5C6C"/>
    <w:rsid w:val="001D42F4"/>
    <w:rsid w:val="001E1085"/>
    <w:rsid w:val="002151B1"/>
    <w:rsid w:val="00237C3F"/>
    <w:rsid w:val="00256F83"/>
    <w:rsid w:val="00273B9F"/>
    <w:rsid w:val="00282556"/>
    <w:rsid w:val="00292B5D"/>
    <w:rsid w:val="0029345A"/>
    <w:rsid w:val="002B6E80"/>
    <w:rsid w:val="00315CFB"/>
    <w:rsid w:val="0039534D"/>
    <w:rsid w:val="003A3F03"/>
    <w:rsid w:val="003F5D1B"/>
    <w:rsid w:val="004423C8"/>
    <w:rsid w:val="00460B27"/>
    <w:rsid w:val="004A6986"/>
    <w:rsid w:val="004B2415"/>
    <w:rsid w:val="004C3FFA"/>
    <w:rsid w:val="004D0870"/>
    <w:rsid w:val="005111D7"/>
    <w:rsid w:val="00525A1C"/>
    <w:rsid w:val="0055393D"/>
    <w:rsid w:val="00572CCD"/>
    <w:rsid w:val="005B0535"/>
    <w:rsid w:val="005D111B"/>
    <w:rsid w:val="005E2CB5"/>
    <w:rsid w:val="005E5BB2"/>
    <w:rsid w:val="00622D00"/>
    <w:rsid w:val="006307BD"/>
    <w:rsid w:val="00642E2E"/>
    <w:rsid w:val="00666702"/>
    <w:rsid w:val="006D59AA"/>
    <w:rsid w:val="006E3FE3"/>
    <w:rsid w:val="006F0532"/>
    <w:rsid w:val="0072644F"/>
    <w:rsid w:val="00790A7A"/>
    <w:rsid w:val="007A7C37"/>
    <w:rsid w:val="007C2E6E"/>
    <w:rsid w:val="007D72E4"/>
    <w:rsid w:val="007E3AEB"/>
    <w:rsid w:val="007F374F"/>
    <w:rsid w:val="007F47E5"/>
    <w:rsid w:val="0084011B"/>
    <w:rsid w:val="00862276"/>
    <w:rsid w:val="00866616"/>
    <w:rsid w:val="00870498"/>
    <w:rsid w:val="008B1AB0"/>
    <w:rsid w:val="008D302E"/>
    <w:rsid w:val="00932CBC"/>
    <w:rsid w:val="00940074"/>
    <w:rsid w:val="009422F1"/>
    <w:rsid w:val="009924A7"/>
    <w:rsid w:val="00996140"/>
    <w:rsid w:val="009A1275"/>
    <w:rsid w:val="009A183F"/>
    <w:rsid w:val="009C0411"/>
    <w:rsid w:val="00A669EE"/>
    <w:rsid w:val="00A86BA6"/>
    <w:rsid w:val="00A926A6"/>
    <w:rsid w:val="00AD5D93"/>
    <w:rsid w:val="00B77575"/>
    <w:rsid w:val="00BB74DB"/>
    <w:rsid w:val="00BD2F86"/>
    <w:rsid w:val="00BD559B"/>
    <w:rsid w:val="00BD7905"/>
    <w:rsid w:val="00C05D27"/>
    <w:rsid w:val="00C10AC2"/>
    <w:rsid w:val="00C20FAB"/>
    <w:rsid w:val="00C6112F"/>
    <w:rsid w:val="00C82D52"/>
    <w:rsid w:val="00C87CE5"/>
    <w:rsid w:val="00CA1B1E"/>
    <w:rsid w:val="00CB1531"/>
    <w:rsid w:val="00CB1C34"/>
    <w:rsid w:val="00CE7114"/>
    <w:rsid w:val="00D334FD"/>
    <w:rsid w:val="00DD29AB"/>
    <w:rsid w:val="00DE7C92"/>
    <w:rsid w:val="00DF2F9E"/>
    <w:rsid w:val="00DF3D88"/>
    <w:rsid w:val="00E458AB"/>
    <w:rsid w:val="00E47988"/>
    <w:rsid w:val="00E90C0F"/>
    <w:rsid w:val="00EE2C75"/>
    <w:rsid w:val="00F63A4A"/>
    <w:rsid w:val="00F85A62"/>
    <w:rsid w:val="00FB7D45"/>
    <w:rsid w:val="04B52C5F"/>
    <w:rsid w:val="13806909"/>
    <w:rsid w:val="15EA1DD4"/>
    <w:rsid w:val="1622126D"/>
    <w:rsid w:val="1CC47F67"/>
    <w:rsid w:val="1E974C0E"/>
    <w:rsid w:val="1F7446A2"/>
    <w:rsid w:val="2435301D"/>
    <w:rsid w:val="27A30F50"/>
    <w:rsid w:val="2CBA289C"/>
    <w:rsid w:val="34D73C07"/>
    <w:rsid w:val="38F0173E"/>
    <w:rsid w:val="48502F8D"/>
    <w:rsid w:val="4A4012D3"/>
    <w:rsid w:val="59235530"/>
    <w:rsid w:val="5B153172"/>
    <w:rsid w:val="5E730E74"/>
    <w:rsid w:val="610A4CD2"/>
    <w:rsid w:val="65C06978"/>
    <w:rsid w:val="757E1739"/>
    <w:rsid w:val="7699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142"/>
    </w:pPr>
    <w:rPr>
      <w:kern w:val="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unhideWhenUsed/>
    <w:qFormat/>
    <w:uiPriority w:val="99"/>
    <w:pPr>
      <w:spacing w:after="120" w:line="360" w:lineRule="atLeast"/>
      <w:ind w:firstLine="720" w:firstLineChars="300"/>
    </w:pPr>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imes New Roman" w:hAnsi="Times New Roman" w:eastAsia="宋体" w:cs="Times New Roman"/>
      <w:kern w:val="2"/>
      <w:sz w:val="18"/>
      <w:szCs w:val="18"/>
    </w:rPr>
  </w:style>
  <w:style w:type="character" w:customStyle="1" w:styleId="11">
    <w:name w:val="页脚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2133</Words>
  <Characters>2201</Characters>
  <Lines>15</Lines>
  <Paragraphs>4</Paragraphs>
  <TotalTime>73</TotalTime>
  <ScaleCrop>false</ScaleCrop>
  <LinksUpToDate>false</LinksUpToDate>
  <CharactersWithSpaces>2202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2022-06-15T10:12:00Z</dcterms:created>
  <dc:creator>你若天长</dc:creator>
  <cp:lastModifiedBy>123</cp:lastModifiedBy>
  <dcterms:modified xsi:type="dcterms:W3CDTF">2026-03-24T09:59:46Z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880EB9EA43314CC68EF7A3D37043E258</vt:lpwstr>
  </property>
  <property fmtid="{D5CDD505-2E9C-101B-9397-08002B2CF9AE}" pid="4" name="KSOTemplateDocerSaveRecord">
    <vt:lpwstr>eyJoZGlkIjoiYjc1YTFmZWUzZDc1MmYyMzkzZmM1YTQyOTI1YjRiNzMiLCJ1c2VySWQiOiIzMzU4NTIxOTEifQ==</vt:lpwstr>
  </property>
</Properties>
</file>