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7"/>
        <w:tabs>
          <w:tab w:val="left" w:pos="1260"/>
        </w:tabs>
        <w:rPr>
          <w:rFonts w:ascii="Times New Roman" w:hAnsi="Times New Roman"/>
          <w:b/>
          <w:color w:val="auto"/>
          <w:spacing w:val="100"/>
          <w:w w:val="110"/>
          <w:kern w:val="0"/>
          <w:sz w:val="52"/>
          <w:szCs w:val="44"/>
        </w:rPr>
      </w:pPr>
    </w:p>
    <w:p>
      <w:pPr>
        <w:pStyle w:val="7"/>
        <w:tabs>
          <w:tab w:val="left" w:pos="1260"/>
        </w:tabs>
        <w:jc w:val="center"/>
        <w:rPr>
          <w:rFonts w:ascii="Times New Roman" w:hAnsi="Times New Roman"/>
          <w:b/>
          <w:color w:val="auto"/>
          <w:spacing w:val="100"/>
          <w:w w:val="110"/>
          <w:kern w:val="0"/>
          <w:sz w:val="52"/>
          <w:szCs w:val="44"/>
        </w:rPr>
      </w:pPr>
    </w:p>
    <w:p>
      <w:pPr>
        <w:pStyle w:val="7"/>
        <w:jc w:val="center"/>
        <w:rPr>
          <w:rFonts w:hint="eastAsia" w:ascii="Times New Roman" w:hAnsi="Times New Roman"/>
          <w:b/>
          <w:color w:val="auto"/>
          <w:sz w:val="56"/>
          <w:szCs w:val="56"/>
        </w:rPr>
      </w:pPr>
      <w:r>
        <w:rPr>
          <w:rFonts w:hint="eastAsia" w:ascii="Times New Roman" w:hAnsi="Times New Roman"/>
          <w:b/>
          <w:color w:val="auto"/>
          <w:sz w:val="44"/>
          <w:szCs w:val="44"/>
        </w:rPr>
        <w:t xml:space="preserve"> </w:t>
      </w:r>
    </w:p>
    <w:p>
      <w:pPr>
        <w:pStyle w:val="7"/>
        <w:jc w:val="center"/>
        <w:rPr>
          <w:rFonts w:hint="eastAsia" w:ascii="Times New Roman" w:hAnsi="Times New Roman"/>
          <w:b/>
          <w:color w:val="auto"/>
          <w:sz w:val="28"/>
          <w:szCs w:val="28"/>
          <w:lang w:val="en-US" w:eastAsia="zh-CN"/>
        </w:rPr>
      </w:pPr>
      <w:r>
        <w:rPr>
          <w:rFonts w:hint="eastAsia" w:ascii="Times New Roman" w:hAnsi="Times New Roman"/>
          <w:b/>
          <w:color w:val="auto"/>
          <w:sz w:val="28"/>
          <w:szCs w:val="28"/>
          <w:lang w:val="en-US" w:eastAsia="zh-CN"/>
        </w:rPr>
        <w:t>《</w:t>
      </w:r>
      <w:r>
        <w:rPr>
          <w:rFonts w:hint="eastAsia" w:ascii="Times New Roman" w:hAnsi="Times New Roman"/>
          <w:b/>
          <w:color w:val="auto"/>
          <w:sz w:val="28"/>
          <w:szCs w:val="28"/>
        </w:rPr>
        <w:t>武汉市统计局零信任设备采购及维保服务项目</w:t>
      </w:r>
      <w:r>
        <w:rPr>
          <w:rFonts w:hint="eastAsia" w:ascii="Times New Roman" w:hAnsi="Times New Roman"/>
          <w:b/>
          <w:color w:val="auto"/>
          <w:sz w:val="28"/>
          <w:szCs w:val="28"/>
          <w:lang w:val="en-US" w:eastAsia="zh-CN"/>
        </w:rPr>
        <w:t>》</w:t>
      </w:r>
    </w:p>
    <w:p>
      <w:pPr>
        <w:pStyle w:val="7"/>
        <w:jc w:val="center"/>
        <w:rPr>
          <w:rFonts w:hint="default" w:ascii="Times New Roman" w:hAnsi="Times New Roman"/>
          <w:b/>
          <w:bCs w:val="0"/>
          <w:color w:val="auto"/>
          <w:sz w:val="30"/>
          <w:szCs w:val="30"/>
          <w:lang w:val="en-US"/>
        </w:rPr>
      </w:pPr>
      <w:r>
        <w:rPr>
          <w:rFonts w:hint="eastAsia" w:ascii="Times New Roman" w:hAnsi="Times New Roman"/>
          <w:b/>
          <w:color w:val="auto"/>
          <w:sz w:val="28"/>
          <w:szCs w:val="28"/>
        </w:rPr>
        <w:t>采购</w:t>
      </w:r>
      <w:r>
        <w:rPr>
          <w:rFonts w:hint="eastAsia" w:ascii="Times New Roman" w:hAnsi="Times New Roman"/>
          <w:b/>
          <w:bCs w:val="0"/>
          <w:color w:val="auto"/>
          <w:sz w:val="28"/>
          <w:szCs w:val="28"/>
        </w:rPr>
        <w:t>需求调查咨询</w:t>
      </w:r>
      <w:r>
        <w:rPr>
          <w:rFonts w:hint="eastAsia" w:ascii="Times New Roman" w:hAnsi="Times New Roman"/>
          <w:b/>
          <w:bCs w:val="0"/>
          <w:color w:val="auto"/>
          <w:sz w:val="28"/>
          <w:szCs w:val="28"/>
          <w:lang w:val="en-US" w:eastAsia="zh-CN"/>
        </w:rPr>
        <w:t>相关资料</w:t>
      </w:r>
    </w:p>
    <w:p>
      <w:pPr>
        <w:pStyle w:val="7"/>
        <w:jc w:val="center"/>
        <w:rPr>
          <w:rFonts w:ascii="Times New Roman" w:hAnsi="Times New Roman"/>
          <w:b/>
          <w:color w:val="auto"/>
          <w:sz w:val="44"/>
          <w:szCs w:val="44"/>
        </w:rPr>
      </w:pPr>
    </w:p>
    <w:p>
      <w:pPr>
        <w:pStyle w:val="7"/>
        <w:jc w:val="center"/>
        <w:rPr>
          <w:rFonts w:hint="eastAsia" w:ascii="Times New Roman" w:hAnsi="Times New Roman"/>
          <w:b/>
          <w:color w:val="auto"/>
          <w:sz w:val="44"/>
          <w:szCs w:val="44"/>
        </w:rPr>
      </w:pPr>
    </w:p>
    <w:p>
      <w:pPr>
        <w:pStyle w:val="7"/>
        <w:jc w:val="center"/>
        <w:rPr>
          <w:rFonts w:hint="eastAsia" w:ascii="Times New Roman" w:hAnsi="Times New Roman"/>
          <w:b/>
          <w:color w:val="auto"/>
          <w:sz w:val="44"/>
          <w:szCs w:val="44"/>
        </w:rPr>
      </w:pPr>
    </w:p>
    <w:p>
      <w:pPr>
        <w:pStyle w:val="7"/>
        <w:jc w:val="center"/>
        <w:rPr>
          <w:rFonts w:hint="eastAsia" w:ascii="Times New Roman" w:hAnsi="Times New Roman"/>
          <w:b/>
          <w:color w:val="auto"/>
          <w:sz w:val="44"/>
          <w:szCs w:val="44"/>
        </w:rPr>
      </w:pPr>
    </w:p>
    <w:p>
      <w:pPr>
        <w:pStyle w:val="7"/>
        <w:spacing w:line="360" w:lineRule="auto"/>
        <w:jc w:val="center"/>
        <w:rPr>
          <w:rFonts w:hint="eastAsia" w:ascii="Times New Roman" w:hAnsi="Times New Roman"/>
          <w:b/>
          <w:color w:val="auto"/>
          <w:sz w:val="28"/>
          <w:szCs w:val="28"/>
          <w:u w:val="single"/>
        </w:rPr>
      </w:pPr>
      <w:r>
        <w:rPr>
          <w:rFonts w:hint="eastAsia" w:ascii="Times New Roman" w:hAnsi="Times New Roman"/>
          <w:b/>
          <w:color w:val="auto"/>
          <w:sz w:val="28"/>
          <w:szCs w:val="28"/>
        </w:rPr>
        <w:t>项目名称：武汉市统计局零信任设备采购及维保服务项目</w:t>
      </w:r>
    </w:p>
    <w:p>
      <w:pPr>
        <w:pStyle w:val="7"/>
        <w:spacing w:line="360" w:lineRule="auto"/>
        <w:rPr>
          <w:rFonts w:hint="eastAsia" w:ascii="Times New Roman" w:hAnsi="Times New Roman"/>
          <w:b/>
          <w:color w:val="auto"/>
          <w:sz w:val="28"/>
          <w:szCs w:val="28"/>
        </w:rPr>
      </w:pPr>
    </w:p>
    <w:p>
      <w:pPr>
        <w:pStyle w:val="7"/>
        <w:spacing w:line="360" w:lineRule="auto"/>
        <w:rPr>
          <w:rFonts w:hint="eastAsia" w:ascii="Times New Roman" w:hAnsi="Times New Roman"/>
          <w:b/>
          <w:color w:val="auto"/>
          <w:sz w:val="28"/>
          <w:szCs w:val="28"/>
        </w:rPr>
      </w:pPr>
    </w:p>
    <w:p>
      <w:pPr>
        <w:pStyle w:val="7"/>
        <w:spacing w:line="360" w:lineRule="auto"/>
        <w:ind w:firstLine="1439" w:firstLineChars="512"/>
        <w:rPr>
          <w:rFonts w:hint="eastAsia" w:ascii="Times New Roman" w:hAnsi="Times New Roman"/>
          <w:b/>
          <w:color w:val="auto"/>
          <w:sz w:val="28"/>
          <w:szCs w:val="28"/>
        </w:rPr>
      </w:pPr>
    </w:p>
    <w:p>
      <w:pPr>
        <w:pStyle w:val="7"/>
        <w:spacing w:line="360" w:lineRule="auto"/>
        <w:ind w:firstLine="1439" w:firstLineChars="512"/>
        <w:rPr>
          <w:rFonts w:ascii="Times New Roman" w:hAnsi="Times New Roman"/>
          <w:b/>
          <w:color w:val="auto"/>
          <w:sz w:val="28"/>
          <w:szCs w:val="28"/>
          <w:u w:val="single"/>
        </w:rPr>
      </w:pPr>
      <w:r>
        <w:rPr>
          <w:rFonts w:hint="eastAsia" w:ascii="Times New Roman" w:hAnsi="Times New Roman"/>
          <w:b/>
          <w:color w:val="auto"/>
          <w:sz w:val="28"/>
          <w:szCs w:val="28"/>
        </w:rPr>
        <w:t>供应商名称：</w:t>
      </w:r>
      <w:r>
        <w:rPr>
          <w:rFonts w:hint="eastAsia" w:ascii="Times New Roman" w:hAnsi="Times New Roman"/>
          <w:b/>
          <w:color w:val="auto"/>
          <w:sz w:val="28"/>
          <w:szCs w:val="28"/>
          <w:u w:val="single"/>
        </w:rPr>
        <w:t xml:space="preserve">                      （加盖公章）</w:t>
      </w:r>
    </w:p>
    <w:p>
      <w:pPr>
        <w:autoSpaceDE w:val="0"/>
        <w:autoSpaceDN w:val="0"/>
        <w:spacing w:line="240" w:lineRule="atLeast"/>
        <w:ind w:firstLine="1439" w:firstLineChars="512"/>
        <w:rPr>
          <w:color w:val="auto"/>
          <w:sz w:val="44"/>
          <w:szCs w:val="44"/>
        </w:rPr>
      </w:pPr>
      <w:r>
        <w:rPr>
          <w:rFonts w:hint="eastAsia"/>
          <w:b/>
          <w:color w:val="auto"/>
          <w:sz w:val="28"/>
          <w:szCs w:val="28"/>
        </w:rPr>
        <w:t>日      期：</w:t>
      </w:r>
      <w:r>
        <w:rPr>
          <w:rFonts w:hint="eastAsia"/>
          <w:b/>
          <w:color w:val="auto"/>
          <w:sz w:val="28"/>
          <w:szCs w:val="28"/>
          <w:u w:val="single"/>
        </w:rPr>
        <w:t xml:space="preserve"> 202</w:t>
      </w:r>
      <w:r>
        <w:rPr>
          <w:rFonts w:hint="eastAsia"/>
          <w:b/>
          <w:color w:val="auto"/>
          <w:sz w:val="28"/>
          <w:szCs w:val="28"/>
          <w:u w:val="single"/>
          <w:lang w:val="en-US" w:eastAsia="zh-CN"/>
        </w:rPr>
        <w:t>3</w:t>
      </w:r>
      <w:r>
        <w:rPr>
          <w:rFonts w:hint="eastAsia"/>
          <w:b/>
          <w:color w:val="auto"/>
          <w:sz w:val="28"/>
          <w:szCs w:val="28"/>
        </w:rPr>
        <w:t>年</w:t>
      </w:r>
      <w:r>
        <w:rPr>
          <w:rFonts w:hint="eastAsia"/>
          <w:b/>
          <w:color w:val="auto"/>
          <w:sz w:val="28"/>
          <w:szCs w:val="28"/>
          <w:u w:val="single"/>
        </w:rPr>
        <w:t xml:space="preserve">     </w:t>
      </w:r>
      <w:r>
        <w:rPr>
          <w:rFonts w:hint="eastAsia"/>
          <w:b/>
          <w:color w:val="auto"/>
          <w:sz w:val="28"/>
          <w:szCs w:val="28"/>
        </w:rPr>
        <w:t>月</w:t>
      </w:r>
      <w:r>
        <w:rPr>
          <w:rFonts w:hint="eastAsia"/>
          <w:b/>
          <w:color w:val="auto"/>
          <w:sz w:val="28"/>
          <w:szCs w:val="28"/>
          <w:u w:val="single"/>
        </w:rPr>
        <w:t xml:space="preserve">     </w:t>
      </w:r>
      <w:r>
        <w:rPr>
          <w:rFonts w:hint="eastAsia"/>
          <w:b/>
          <w:color w:val="auto"/>
          <w:sz w:val="28"/>
          <w:szCs w:val="28"/>
        </w:rPr>
        <w:t>日</w:t>
      </w:r>
    </w:p>
    <w:p>
      <w:pPr>
        <w:jc w:val="center"/>
        <w:rPr>
          <w:b/>
          <w:color w:val="auto"/>
        </w:rPr>
      </w:pPr>
      <w:r>
        <w:rPr>
          <w:b/>
          <w:color w:val="auto"/>
        </w:rPr>
        <w:br w:type="page"/>
      </w:r>
    </w:p>
    <w:p>
      <w:pPr>
        <w:jc w:val="center"/>
        <w:rPr>
          <w:b/>
          <w:color w:val="auto"/>
        </w:rPr>
        <w:sectPr>
          <w:pgSz w:w="11906" w:h="16838"/>
          <w:pgMar w:top="1440" w:right="1800" w:bottom="1440" w:left="1800" w:header="851" w:footer="992" w:gutter="0"/>
          <w:cols w:space="720" w:num="1"/>
          <w:docGrid w:type="lines" w:linePitch="312" w:charSpace="0"/>
        </w:sectPr>
      </w:pPr>
    </w:p>
    <w:p>
      <w:pPr>
        <w:jc w:val="center"/>
        <w:rPr>
          <w:rFonts w:hint="eastAsia"/>
          <w:b/>
          <w:color w:val="auto"/>
          <w:lang w:eastAsia="zh-CN"/>
        </w:rPr>
      </w:pPr>
    </w:p>
    <w:p>
      <w:pPr>
        <w:jc w:val="center"/>
        <w:rPr>
          <w:rFonts w:hint="eastAsia"/>
          <w:b/>
          <w:color w:val="auto"/>
          <w:lang w:eastAsia="zh-CN"/>
        </w:rPr>
      </w:pPr>
    </w:p>
    <w:p>
      <w:pPr>
        <w:jc w:val="center"/>
        <w:rPr>
          <w:rFonts w:hint="eastAsia"/>
          <w:b/>
          <w:color w:val="auto"/>
          <w:lang w:eastAsia="zh-CN"/>
        </w:rPr>
      </w:pPr>
    </w:p>
    <w:p>
      <w:pPr>
        <w:jc w:val="center"/>
        <w:rPr>
          <w:rFonts w:hint="eastAsia"/>
          <w:b/>
          <w:color w:val="auto"/>
          <w:lang w:eastAsia="zh-CN"/>
        </w:rPr>
      </w:pPr>
    </w:p>
    <w:p>
      <w:pPr>
        <w:jc w:val="center"/>
        <w:rPr>
          <w:rFonts w:hint="eastAsia" w:eastAsia="宋体"/>
          <w:b/>
          <w:color w:val="auto"/>
          <w:lang w:eastAsia="zh-CN"/>
        </w:rPr>
        <w:sectPr>
          <w:pgSz w:w="11906" w:h="16838"/>
          <w:pgMar w:top="1440" w:right="1800" w:bottom="1440" w:left="1800" w:header="851" w:footer="992" w:gutter="0"/>
          <w:cols w:space="720" w:num="1"/>
          <w:docGrid w:type="lines" w:linePitch="312" w:charSpace="0"/>
        </w:sectPr>
      </w:pPr>
      <w:r>
        <w:rPr>
          <w:rFonts w:hint="eastAsia"/>
          <w:b/>
          <w:color w:val="auto"/>
          <w:lang w:eastAsia="zh-CN"/>
        </w:rPr>
        <w:t>（</w:t>
      </w:r>
      <w:r>
        <w:rPr>
          <w:rFonts w:hint="eastAsia"/>
          <w:b/>
          <w:color w:val="auto"/>
          <w:lang w:val="en-US" w:eastAsia="zh-CN"/>
        </w:rPr>
        <w:t>此页无正文</w:t>
      </w:r>
      <w:r>
        <w:rPr>
          <w:rFonts w:hint="eastAsia"/>
          <w:b/>
          <w:color w:val="auto"/>
          <w:lang w:eastAsia="zh-CN"/>
        </w:rPr>
        <w:t>）</w:t>
      </w:r>
    </w:p>
    <w:p>
      <w:pPr>
        <w:jc w:val="center"/>
        <w:rPr>
          <w:b/>
          <w:color w:val="auto"/>
        </w:rPr>
      </w:pPr>
    </w:p>
    <w:p>
      <w:pPr>
        <w:jc w:val="center"/>
        <w:rPr>
          <w:rFonts w:hint="eastAsia" w:ascii="宋体" w:hAnsi="宋体"/>
          <w:b/>
          <w:bCs/>
          <w:color w:val="auto"/>
          <w:sz w:val="44"/>
          <w:szCs w:val="44"/>
        </w:rPr>
      </w:pPr>
      <w:r>
        <w:rPr>
          <w:rFonts w:hint="eastAsia" w:ascii="宋体" w:hAnsi="宋体"/>
          <w:b/>
          <w:bCs/>
          <w:color w:val="auto"/>
          <w:sz w:val="44"/>
          <w:szCs w:val="44"/>
        </w:rPr>
        <w:t>目  录</w:t>
      </w:r>
    </w:p>
    <w:p>
      <w:pPr>
        <w:pStyle w:val="26"/>
        <w:rPr>
          <w:rFonts w:hint="eastAsia" w:ascii="宋体" w:hAnsi="宋体"/>
          <w:b/>
          <w:color w:val="auto"/>
          <w:sz w:val="44"/>
          <w:szCs w:val="44"/>
        </w:rPr>
      </w:pPr>
    </w:p>
    <w:p>
      <w:pPr>
        <w:pStyle w:val="11"/>
        <w:tabs>
          <w:tab w:val="right" w:leader="dot" w:pos="8306"/>
        </w:tabs>
        <w:spacing w:line="480" w:lineRule="auto"/>
        <w:rPr>
          <w:rFonts w:hint="eastAsia" w:eastAsia="宋体"/>
          <w:b/>
          <w:bCs/>
          <w:color w:val="auto"/>
          <w:sz w:val="28"/>
          <w:szCs w:val="32"/>
          <w:lang w:val="en-US" w:eastAsia="zh-CN"/>
        </w:rPr>
      </w:pPr>
      <w:r>
        <w:rPr>
          <w:rFonts w:hint="eastAsia"/>
          <w:b/>
          <w:bCs/>
          <w:color w:val="auto"/>
          <w:sz w:val="28"/>
          <w:szCs w:val="48"/>
        </w:rPr>
        <w:t>一、</w:t>
      </w:r>
      <w:r>
        <w:rPr>
          <w:rFonts w:hint="eastAsia"/>
          <w:b/>
          <w:bCs/>
          <w:color w:val="auto"/>
          <w:sz w:val="28"/>
          <w:szCs w:val="48"/>
          <w:lang w:val="en-US" w:eastAsia="zh-CN"/>
        </w:rPr>
        <w:t>本项目</w:t>
      </w:r>
      <w:r>
        <w:rPr>
          <w:rFonts w:hint="eastAsia"/>
          <w:b/>
          <w:bCs/>
          <w:color w:val="auto"/>
          <w:sz w:val="28"/>
          <w:szCs w:val="48"/>
        </w:rPr>
        <w:t>相关采购需求简介</w:t>
      </w:r>
      <w:r>
        <w:rPr>
          <w:b/>
          <w:bCs/>
          <w:color w:val="auto"/>
          <w:sz w:val="28"/>
          <w:szCs w:val="32"/>
        </w:rPr>
        <w:tab/>
      </w:r>
      <w:r>
        <w:rPr>
          <w:rFonts w:hint="eastAsia"/>
          <w:b/>
          <w:bCs/>
          <w:color w:val="auto"/>
          <w:sz w:val="28"/>
          <w:szCs w:val="32"/>
          <w:lang w:val="en-US" w:eastAsia="zh-CN"/>
        </w:rPr>
        <w:t>1</w:t>
      </w:r>
    </w:p>
    <w:p>
      <w:pPr>
        <w:pStyle w:val="11"/>
        <w:tabs>
          <w:tab w:val="right" w:leader="dot" w:pos="8306"/>
        </w:tabs>
        <w:spacing w:line="480" w:lineRule="auto"/>
        <w:rPr>
          <w:rFonts w:hint="eastAsia" w:eastAsia="宋体"/>
          <w:b/>
          <w:bCs/>
          <w:color w:val="auto"/>
          <w:sz w:val="28"/>
          <w:szCs w:val="32"/>
          <w:lang w:val="en-US" w:eastAsia="zh-CN"/>
        </w:rPr>
      </w:pPr>
      <w:r>
        <w:rPr>
          <w:rFonts w:hint="eastAsia"/>
          <w:b/>
          <w:bCs/>
          <w:color w:val="auto"/>
          <w:sz w:val="28"/>
          <w:szCs w:val="48"/>
        </w:rPr>
        <w:t>二、采购需求调查咨询内容</w:t>
      </w:r>
      <w:r>
        <w:rPr>
          <w:b/>
          <w:bCs/>
          <w:color w:val="auto"/>
          <w:sz w:val="28"/>
          <w:szCs w:val="32"/>
        </w:rPr>
        <w:tab/>
      </w:r>
      <w:r>
        <w:rPr>
          <w:rFonts w:hint="eastAsia"/>
          <w:b/>
          <w:bCs/>
          <w:color w:val="auto"/>
          <w:sz w:val="28"/>
          <w:szCs w:val="32"/>
          <w:lang w:val="en-US" w:eastAsia="zh-CN"/>
        </w:rPr>
        <w:t>2</w:t>
      </w:r>
    </w:p>
    <w:p>
      <w:pPr>
        <w:pStyle w:val="11"/>
        <w:tabs>
          <w:tab w:val="right" w:leader="dot" w:pos="8306"/>
        </w:tabs>
        <w:spacing w:line="480" w:lineRule="auto"/>
        <w:ind w:leftChars="0"/>
        <w:rPr>
          <w:rFonts w:hint="eastAsia" w:eastAsia="宋体"/>
          <w:b/>
          <w:bCs/>
          <w:color w:val="auto"/>
          <w:sz w:val="28"/>
          <w:szCs w:val="32"/>
          <w:lang w:val="en-US" w:eastAsia="zh-CN"/>
        </w:rPr>
      </w:pPr>
      <w:r>
        <w:rPr>
          <w:rFonts w:hint="eastAsia"/>
          <w:b/>
          <w:bCs/>
          <w:color w:val="auto"/>
          <w:sz w:val="28"/>
          <w:szCs w:val="48"/>
        </w:rPr>
        <w:t>三、</w:t>
      </w:r>
      <w:r>
        <w:rPr>
          <w:rFonts w:hint="eastAsia" w:ascii="宋体" w:hAnsi="宋体" w:cs="宋体"/>
          <w:b/>
          <w:color w:val="auto"/>
          <w:sz w:val="28"/>
          <w:szCs w:val="28"/>
        </w:rPr>
        <w:t>需求调查反馈意见报告相关材料（格式）</w:t>
      </w:r>
      <w:r>
        <w:rPr>
          <w:b/>
          <w:bCs/>
          <w:color w:val="auto"/>
          <w:sz w:val="28"/>
          <w:szCs w:val="32"/>
        </w:rPr>
        <w:tab/>
      </w:r>
      <w:r>
        <w:rPr>
          <w:rFonts w:hint="eastAsia"/>
          <w:b/>
          <w:bCs/>
          <w:color w:val="auto"/>
          <w:sz w:val="28"/>
          <w:szCs w:val="32"/>
          <w:lang w:val="en-US" w:eastAsia="zh-CN"/>
        </w:rPr>
        <w:t>4</w:t>
      </w:r>
    </w:p>
    <w:p>
      <w:pPr>
        <w:spacing w:line="480" w:lineRule="auto"/>
        <w:jc w:val="center"/>
        <w:outlineLvl w:val="1"/>
        <w:rPr>
          <w:rFonts w:hint="eastAsia" w:ascii="宋体" w:hAnsi="宋体"/>
          <w:b/>
          <w:bCs/>
          <w:color w:val="auto"/>
          <w:sz w:val="24"/>
          <w:szCs w:val="24"/>
        </w:rPr>
      </w:pPr>
    </w:p>
    <w:p>
      <w:pPr>
        <w:jc w:val="center"/>
        <w:outlineLvl w:val="1"/>
        <w:rPr>
          <w:rFonts w:hint="eastAsia"/>
          <w:b/>
          <w:color w:val="auto"/>
          <w:sz w:val="36"/>
          <w:szCs w:val="36"/>
        </w:rPr>
        <w:sectPr>
          <w:pgSz w:w="11906" w:h="16838"/>
          <w:pgMar w:top="1440" w:right="1800" w:bottom="1440" w:left="1800" w:header="851" w:footer="992" w:gutter="0"/>
          <w:cols w:space="720" w:num="1"/>
          <w:docGrid w:type="lines" w:linePitch="312" w:charSpace="0"/>
        </w:sectPr>
      </w:pPr>
    </w:p>
    <w:p>
      <w:pPr>
        <w:jc w:val="center"/>
        <w:rPr>
          <w:rFonts w:hint="eastAsia"/>
          <w:b/>
          <w:color w:val="auto"/>
          <w:lang w:eastAsia="zh-CN"/>
        </w:rPr>
      </w:pPr>
      <w:bookmarkStart w:id="0" w:name="_Toc3224"/>
    </w:p>
    <w:p>
      <w:pPr>
        <w:jc w:val="center"/>
        <w:rPr>
          <w:rFonts w:hint="eastAsia"/>
          <w:b/>
          <w:color w:val="auto"/>
          <w:lang w:eastAsia="zh-CN"/>
        </w:rPr>
      </w:pPr>
    </w:p>
    <w:p>
      <w:pPr>
        <w:jc w:val="center"/>
        <w:rPr>
          <w:rFonts w:hint="eastAsia"/>
          <w:b/>
          <w:color w:val="auto"/>
          <w:lang w:eastAsia="zh-CN"/>
        </w:rPr>
      </w:pPr>
    </w:p>
    <w:p>
      <w:pPr>
        <w:jc w:val="center"/>
        <w:rPr>
          <w:rFonts w:hint="eastAsia" w:eastAsia="宋体"/>
          <w:b/>
          <w:color w:val="auto"/>
          <w:lang w:eastAsia="zh-CN"/>
        </w:rPr>
        <w:sectPr>
          <w:pgSz w:w="11906" w:h="16838"/>
          <w:pgMar w:top="1440" w:right="1800" w:bottom="1440" w:left="1800" w:header="851" w:footer="992" w:gutter="0"/>
          <w:cols w:space="720" w:num="1"/>
          <w:docGrid w:type="lines" w:linePitch="312" w:charSpace="0"/>
        </w:sectPr>
      </w:pPr>
      <w:r>
        <w:rPr>
          <w:rFonts w:hint="eastAsia"/>
          <w:b/>
          <w:color w:val="auto"/>
          <w:lang w:eastAsia="zh-CN"/>
        </w:rPr>
        <w:t>（</w:t>
      </w:r>
      <w:r>
        <w:rPr>
          <w:rFonts w:hint="eastAsia"/>
          <w:b/>
          <w:color w:val="auto"/>
          <w:lang w:val="en-US" w:eastAsia="zh-CN"/>
        </w:rPr>
        <w:t>此页无正文</w:t>
      </w:r>
      <w:r>
        <w:rPr>
          <w:rFonts w:hint="eastAsia"/>
          <w:b/>
          <w:color w:val="auto"/>
          <w:lang w:eastAsia="zh-CN"/>
        </w:rPr>
        <w:t>）</w:t>
      </w:r>
    </w:p>
    <w:p>
      <w:pPr>
        <w:numPr>
          <w:ilvl w:val="0"/>
          <w:numId w:val="0"/>
        </w:numPr>
        <w:outlineLvl w:val="1"/>
        <w:rPr>
          <w:rFonts w:hint="eastAsia"/>
          <w:lang w:val="en-US" w:eastAsia="zh-CN"/>
        </w:rPr>
      </w:pPr>
      <w:bookmarkStart w:id="1" w:name="_GoBack"/>
      <w:bookmarkEnd w:id="1"/>
      <w:r>
        <w:rPr>
          <w:rFonts w:hint="eastAsia" w:ascii="宋体" w:hAnsi="宋体" w:cs="宋体"/>
          <w:b/>
          <w:color w:val="auto"/>
          <w:sz w:val="28"/>
          <w:szCs w:val="28"/>
          <w:lang w:val="en-US" w:eastAsia="zh-CN"/>
        </w:rPr>
        <w:t>一、本项目相关采购内容及需求简介</w:t>
      </w:r>
    </w:p>
    <w:p>
      <w:pPr>
        <w:pStyle w:val="26"/>
        <w:spacing w:line="360" w:lineRule="auto"/>
        <w:ind w:firstLine="520" w:firstLineChars="200"/>
        <w:rPr>
          <w:rFonts w:hint="eastAsia" w:ascii="宋体" w:hAnsi="宋体" w:cs="宋体"/>
          <w:color w:val="auto"/>
          <w:lang w:val="en-US" w:eastAsia="zh-CN"/>
        </w:rPr>
      </w:pPr>
      <w:r>
        <w:rPr>
          <w:rFonts w:hint="eastAsia" w:ascii="宋体" w:hAnsi="宋体" w:cs="宋体"/>
          <w:color w:val="auto"/>
          <w:lang w:val="en-US" w:eastAsia="zh-CN"/>
        </w:rPr>
        <w:t>湖北中盛汇金项目管理有限公司受武汉市统计局（以下简称“委托人”）的委托，对委托人提供的武汉武汉市统计局零信任设备采购及维保服务项目的采购需求开展需求调查。</w:t>
      </w:r>
    </w:p>
    <w:p>
      <w:pPr>
        <w:pStyle w:val="12"/>
        <w:keepNext w:val="0"/>
        <w:keepLines w:val="0"/>
        <w:pageBreakBefore w:val="0"/>
        <w:widowControl/>
        <w:numPr>
          <w:ilvl w:val="0"/>
          <w:numId w:val="0"/>
        </w:numPr>
        <w:suppressLineNumbers w:val="0"/>
        <w:shd w:val="clear" w:color="auto"/>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left"/>
        <w:textAlignment w:val="auto"/>
        <w:outlineLvl w:val="9"/>
        <w:rPr>
          <w:rFonts w:hint="eastAsia" w:ascii="宋体" w:hAnsi="宋体" w:cs="宋体"/>
          <w:color w:val="auto"/>
          <w:lang w:val="en-US" w:eastAsia="zh-CN"/>
        </w:rPr>
      </w:pPr>
    </w:p>
    <w:p>
      <w:pPr>
        <w:pStyle w:val="12"/>
        <w:keepNext w:val="0"/>
        <w:keepLines w:val="0"/>
        <w:pageBreakBefore w:val="0"/>
        <w:widowControl/>
        <w:numPr>
          <w:ilvl w:val="0"/>
          <w:numId w:val="0"/>
        </w:numPr>
        <w:suppressLineNumbers w:val="0"/>
        <w:shd w:val="clear" w:color="auto"/>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left"/>
        <w:textAlignment w:val="auto"/>
        <w:outlineLvl w:val="9"/>
        <w:rPr>
          <w:rFonts w:hint="eastAsia" w:ascii="宋体" w:hAnsi="宋体" w:cs="宋体"/>
          <w:color w:val="auto"/>
          <w:lang w:val="en-US" w:eastAsia="zh-CN"/>
        </w:rPr>
      </w:pPr>
      <w:r>
        <w:rPr>
          <w:rFonts w:hint="eastAsia" w:ascii="宋体" w:hAnsi="宋体" w:cs="宋体"/>
          <w:color w:val="auto"/>
          <w:lang w:val="en-US" w:eastAsia="zh-CN"/>
        </w:rPr>
        <w:t>采购内容：</w:t>
      </w:r>
    </w:p>
    <w:tbl>
      <w:tblPr>
        <w:tblStyle w:val="13"/>
        <w:tblW w:w="1001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419"/>
        <w:gridCol w:w="2381"/>
        <w:gridCol w:w="621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2" w:hRule="atLeast"/>
          <w:jc w:val="center"/>
        </w:trPr>
        <w:tc>
          <w:tcPr>
            <w:tcW w:w="14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项目</w:t>
            </w:r>
          </w:p>
        </w:tc>
        <w:tc>
          <w:tcPr>
            <w:tcW w:w="23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指标</w:t>
            </w:r>
          </w:p>
        </w:tc>
        <w:tc>
          <w:tcPr>
            <w:tcW w:w="62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具体要求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3" w:hRule="atLeast"/>
          <w:jc w:val="center"/>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性能</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最大并发用户数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500个（后续可能扩展至1000个）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3"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最大理论加密吞吐量</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≥400M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3" w:hRule="atLeast"/>
          <w:jc w:val="center"/>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4"/>
                <w:szCs w:val="24"/>
                <w:u w:val="none"/>
                <w:lang w:val="en-US"/>
              </w:rPr>
            </w:pPr>
            <w:r>
              <w:rPr>
                <w:rFonts w:hint="eastAsia" w:ascii="宋体" w:hAnsi="宋体" w:cs="宋体"/>
                <w:i w:val="0"/>
                <w:iCs w:val="0"/>
                <w:color w:val="000000"/>
                <w:kern w:val="0"/>
                <w:sz w:val="24"/>
                <w:szCs w:val="24"/>
                <w:u w:val="none"/>
                <w:lang w:val="en-US" w:eastAsia="zh-CN" w:bidi="ar"/>
              </w:rPr>
              <w:t>硬件要求</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bidi="ar"/>
              </w:rPr>
              <w:t>规格要求</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bidi="ar"/>
              </w:rPr>
              <w:t>整机购置，且必须满足如下要求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3"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内存</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≥16G</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3"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硬盘</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≥256G</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3"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接口</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至少提供4个SFP千兆光口</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3" w:hRule="atLeast"/>
          <w:jc w:val="center"/>
        </w:trPr>
        <w:tc>
          <w:tcPr>
            <w:tcW w:w="1419" w:type="dxa"/>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安全性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传输加密</w:t>
            </w:r>
          </w:p>
        </w:tc>
        <w:tc>
          <w:tcPr>
            <w:tcW w:w="62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支持国密算法对数据进行加密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89" w:hRule="atLeast"/>
          <w:jc w:val="center"/>
        </w:trPr>
        <w:tc>
          <w:tcPr>
            <w:tcW w:w="1419" w:type="dxa"/>
            <w:vMerge w:val="continue"/>
            <w:tcBorders>
              <w:left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23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i w:val="0"/>
                <w:iCs w:val="0"/>
                <w:color w:val="000000"/>
                <w:kern w:val="2"/>
                <w:sz w:val="24"/>
                <w:szCs w:val="24"/>
                <w:u w:val="none"/>
                <w:lang w:val="en-US" w:eastAsia="zh-CN" w:bidi="ar-SA"/>
              </w:rPr>
            </w:pPr>
            <w:r>
              <w:rPr>
                <w:rFonts w:hint="eastAsia" w:ascii="宋体" w:hAnsi="宋体" w:eastAsia="宋体" w:cs="宋体"/>
                <w:i w:val="0"/>
                <w:iCs w:val="0"/>
                <w:color w:val="000000"/>
                <w:kern w:val="0"/>
                <w:sz w:val="24"/>
                <w:szCs w:val="24"/>
                <w:u w:val="none"/>
                <w:lang w:val="en-US" w:eastAsia="zh-CN" w:bidi="ar"/>
              </w:rPr>
              <w:t>SPA</w:t>
            </w:r>
          </w:p>
        </w:tc>
        <w:tc>
          <w:tcPr>
            <w:tcW w:w="62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kern w:val="2"/>
                <w:sz w:val="24"/>
                <w:szCs w:val="24"/>
                <w:u w:val="none"/>
                <w:lang w:val="en-US" w:eastAsia="zh-CN" w:bidi="ar-SA"/>
              </w:rPr>
            </w:pPr>
            <w:r>
              <w:rPr>
                <w:rFonts w:hint="eastAsia" w:ascii="宋体" w:hAnsi="宋体" w:eastAsia="宋体" w:cs="宋体"/>
                <w:i w:val="0"/>
                <w:iCs w:val="0"/>
                <w:color w:val="000000"/>
                <w:kern w:val="0"/>
                <w:sz w:val="24"/>
                <w:szCs w:val="24"/>
                <w:u w:val="none"/>
                <w:lang w:val="en-US" w:eastAsia="zh-CN" w:bidi="ar"/>
              </w:rPr>
              <w:t>1.用户经过SPA鉴权后才能访问认证登录界面</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2.将应用访问业务隐藏在代理网关后，实现网络隐身</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3.需敲门成功后才能与服务端建立连接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89" w:hRule="atLeast"/>
          <w:jc w:val="center"/>
        </w:trPr>
        <w:tc>
          <w:tcPr>
            <w:tcW w:w="1419" w:type="dxa"/>
            <w:vMerge w:val="continue"/>
            <w:tcBorders>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23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cs="宋体"/>
                <w:i w:val="0"/>
                <w:iCs w:val="0"/>
                <w:color w:val="000000"/>
                <w:kern w:val="0"/>
                <w:sz w:val="24"/>
                <w:szCs w:val="24"/>
                <w:u w:val="none"/>
                <w:lang w:val="en-US" w:eastAsia="zh-CN" w:bidi="ar"/>
              </w:rPr>
              <w:t>内外网一体化</w:t>
            </w:r>
          </w:p>
        </w:tc>
        <w:tc>
          <w:tcPr>
            <w:tcW w:w="62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cs="宋体"/>
                <w:i w:val="0"/>
                <w:iCs w:val="0"/>
                <w:color w:val="000000"/>
                <w:kern w:val="0"/>
                <w:sz w:val="24"/>
                <w:szCs w:val="24"/>
                <w:u w:val="none"/>
                <w:lang w:val="en-US" w:eastAsia="zh-CN" w:bidi="ar"/>
              </w:rPr>
              <w:t>支持多网络地址映射，采用控制中心与代理网关解藕架构，确保各区安全的与市统计局数据互联，以及移动访问，实现电子政务外网与互联网安全的访问统计专网需求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88" w:hRule="atLeast"/>
          <w:jc w:val="center"/>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软件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用户管理</w:t>
            </w:r>
          </w:p>
        </w:tc>
        <w:tc>
          <w:tcPr>
            <w:tcW w:w="62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1.支持查看当前在线用户人数</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2.支持查看在线用户的登录IP、时间、终端类型等信息</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3.支持管理员对在线用户进行注销、锁定、解锁操作</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4.支持检测长时间未使用闲置账号，支持闲置时长自定义配置</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5.支持新增/删除/修改用户，配置用户基本信息</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6.支持批量导入用户，支持批量导出用户列表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91"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安全设置</w:t>
            </w:r>
          </w:p>
        </w:tc>
        <w:tc>
          <w:tcPr>
            <w:tcW w:w="62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1.支持配置用户连续登录错误超过上限锁定账号，并于指定时长后自动恢复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2.支持配置同IP用户连续登录错误超过上限时锁定IP，并于指定时长后自动恢复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3.支持查看日志，方便运维排查</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4.支持终端环境诊断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0"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权限管理</w:t>
            </w:r>
          </w:p>
        </w:tc>
        <w:tc>
          <w:tcPr>
            <w:tcW w:w="62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1.支持新增/删除/修改管理员角色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2.支持管理员分级分权</w:t>
            </w:r>
            <w:r>
              <w:rPr>
                <w:rFonts w:hint="eastAsia" w:ascii="宋体" w:hAnsi="宋体" w:cs="宋体"/>
                <w:i w:val="0"/>
                <w:iCs w:val="0"/>
                <w:color w:val="000000"/>
                <w:kern w:val="0"/>
                <w:sz w:val="24"/>
                <w:szCs w:val="24"/>
                <w:u w:val="none"/>
                <w:lang w:val="en-US" w:eastAsia="zh-CN" w:bidi="ar"/>
              </w:rPr>
              <w:t>。市级管理员拥有全部权限，区级管理员仅拥有密码重置权限，无法新增</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3.支持按用户、用户组进行角色授权</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4.支持用户权限的申请和审批，未授权的员工可以申请权限，管理员有审批机制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91"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访问控制</w:t>
            </w:r>
          </w:p>
        </w:tc>
        <w:tc>
          <w:tcPr>
            <w:tcW w:w="62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1.基于应用信息的访问控制（客户端IP、代理网关接入IP、浏览器版本、应用类型）</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2.基于用户信息的访问控制（用户登录时间、地点、IP）</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3.基于内置变量信息的访问控制（是否为授信终端、访问应用进程的信任状态、是否为异常时间段登录、是否为异地登录）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72"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动态准入</w:t>
            </w:r>
          </w:p>
        </w:tc>
        <w:tc>
          <w:tcPr>
            <w:tcW w:w="62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支持用户登录上线后，持续、动态监测终端环境安全，不符合安全要求的立即注销或锁定用户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5"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认证管理</w:t>
            </w:r>
          </w:p>
        </w:tc>
        <w:tc>
          <w:tcPr>
            <w:tcW w:w="62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1.支持本地账号密码认证、多因子认证（动态码、短信）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2.自适应认证。支持在可信终端或网络环境下，免二次认证；异常环境下，要求增强认证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67"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授信终端</w:t>
            </w:r>
          </w:p>
        </w:tc>
        <w:tc>
          <w:tcPr>
            <w:tcW w:w="62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1.支持查看/添加/移除授信终端，可查看历史登录情况</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2.支持查看所有临时登录的终端信息及历史登录情况</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3.支持用户满足条件后自动绑定、用户增强认证后绑定、用户申请管理员审批绑定等多种绑定方式</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4.支持配置一个账号在PC端和移动端分别绑定终端数量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0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安全空间（沙箱）</w:t>
            </w:r>
          </w:p>
        </w:tc>
        <w:tc>
          <w:tcPr>
            <w:tcW w:w="62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1.支持安全空间策略配置（数据导入\导出、打印、网络隔离等）</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2.提供多个安全空间，各个安全空间互相隔离、互不影响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7"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lang w:eastAsia="zh-CN"/>
              </w:rPr>
            </w:pPr>
            <w:r>
              <w:rPr>
                <w:rFonts w:hint="eastAsia" w:ascii="宋体" w:hAnsi="宋体" w:cs="宋体"/>
                <w:i w:val="0"/>
                <w:iCs w:val="0"/>
                <w:color w:val="000000"/>
                <w:sz w:val="24"/>
                <w:szCs w:val="24"/>
                <w:u w:val="none"/>
                <w:lang w:eastAsia="zh-CN"/>
              </w:rPr>
              <w:t>适配性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cs="宋体"/>
                <w:i w:val="0"/>
                <w:iCs w:val="0"/>
                <w:color w:val="000000"/>
                <w:kern w:val="0"/>
                <w:sz w:val="24"/>
                <w:szCs w:val="24"/>
                <w:u w:val="none"/>
                <w:lang w:val="en-US" w:eastAsia="zh-CN" w:bidi="ar"/>
              </w:rPr>
              <w:t>适配操作系统</w:t>
            </w:r>
          </w:p>
        </w:tc>
        <w:tc>
          <w:tcPr>
            <w:tcW w:w="62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numPr>
                <w:ilvl w:val="0"/>
                <w:numId w:val="3"/>
              </w:numPr>
              <w:suppressLineNumbers w:val="0"/>
              <w:spacing w:before="0" w:beforeAutospacing="0" w:after="0" w:afterAutospacing="0"/>
              <w:ind w:left="0" w:right="0"/>
              <w:jc w:val="left"/>
              <w:textAlignment w:val="center"/>
              <w:rPr>
                <w:rFonts w:hint="eastAsia" w:ascii="宋体" w:hAnsi="宋体" w:cs="宋体"/>
                <w:i w:val="0"/>
                <w:iCs w:val="0"/>
                <w:color w:val="000000"/>
                <w:kern w:val="0"/>
                <w:sz w:val="24"/>
                <w:szCs w:val="24"/>
                <w:u w:val="none"/>
                <w:lang w:val="en-US" w:eastAsia="zh-CN" w:bidi="ar"/>
              </w:rPr>
            </w:pPr>
            <w:r>
              <w:rPr>
                <w:rFonts w:hint="eastAsia" w:ascii="宋体" w:hAnsi="宋体" w:cs="宋体"/>
                <w:i w:val="0"/>
                <w:iCs w:val="0"/>
                <w:color w:val="000000"/>
                <w:kern w:val="0"/>
                <w:sz w:val="24"/>
                <w:szCs w:val="24"/>
                <w:u w:val="none"/>
                <w:lang w:val="en-US" w:eastAsia="zh-CN" w:bidi="ar"/>
              </w:rPr>
              <w:t>客户端能够运行在Windows系统上,并能保证功能运行良好</w:t>
            </w:r>
          </w:p>
          <w:p>
            <w:pPr>
              <w:keepNext w:val="0"/>
              <w:keepLines w:val="0"/>
              <w:widowControl/>
              <w:numPr>
                <w:ilvl w:val="0"/>
                <w:numId w:val="3"/>
              </w:numPr>
              <w:suppressLineNumbers w:val="0"/>
              <w:spacing w:before="0" w:beforeAutospacing="0" w:after="0" w:afterAutospacing="0"/>
              <w:ind w:left="0" w:right="0"/>
              <w:jc w:val="left"/>
              <w:textAlignment w:val="center"/>
              <w:rPr>
                <w:rFonts w:hint="eastAsia" w:ascii="宋体" w:hAnsi="宋体" w:cs="宋体"/>
                <w:i w:val="0"/>
                <w:iCs w:val="0"/>
                <w:color w:val="000000"/>
                <w:kern w:val="0"/>
                <w:sz w:val="24"/>
                <w:szCs w:val="24"/>
                <w:u w:val="none"/>
                <w:lang w:val="en-US" w:eastAsia="zh-CN" w:bidi="ar"/>
              </w:rPr>
            </w:pPr>
            <w:r>
              <w:rPr>
                <w:rFonts w:hint="eastAsia" w:ascii="宋体" w:hAnsi="宋体" w:cs="宋体"/>
                <w:i w:val="0"/>
                <w:iCs w:val="0"/>
                <w:color w:val="000000"/>
                <w:kern w:val="0"/>
                <w:sz w:val="24"/>
                <w:szCs w:val="24"/>
                <w:u w:val="none"/>
                <w:lang w:val="en-US" w:eastAsia="zh-CN" w:bidi="ar"/>
              </w:rPr>
              <w:t>客户端能够运行在Linux系统上,并能保证功能运行良好</w:t>
            </w:r>
          </w:p>
          <w:p>
            <w:pPr>
              <w:keepNext w:val="0"/>
              <w:keepLines w:val="0"/>
              <w:widowControl/>
              <w:numPr>
                <w:ilvl w:val="0"/>
                <w:numId w:val="3"/>
              </w:numPr>
              <w:suppressLineNumbers w:val="0"/>
              <w:spacing w:before="0" w:beforeAutospacing="0" w:after="0" w:afterAutospacing="0"/>
              <w:ind w:left="0" w:right="0"/>
              <w:jc w:val="left"/>
              <w:textAlignment w:val="center"/>
              <w:rPr>
                <w:rFonts w:hint="eastAsia" w:ascii="宋体" w:hAnsi="宋体" w:cs="宋体"/>
                <w:i w:val="0"/>
                <w:iCs w:val="0"/>
                <w:color w:val="000000"/>
                <w:kern w:val="0"/>
                <w:sz w:val="24"/>
                <w:szCs w:val="24"/>
                <w:u w:val="none"/>
                <w:lang w:val="en-US" w:eastAsia="zh-CN" w:bidi="ar"/>
              </w:rPr>
            </w:pPr>
            <w:r>
              <w:rPr>
                <w:rFonts w:hint="eastAsia" w:ascii="宋体" w:hAnsi="宋体" w:cs="宋体"/>
                <w:i w:val="0"/>
                <w:iCs w:val="0"/>
                <w:color w:val="000000"/>
                <w:kern w:val="0"/>
                <w:sz w:val="24"/>
                <w:szCs w:val="24"/>
                <w:u w:val="none"/>
                <w:lang w:val="en-US" w:eastAsia="zh-CN" w:bidi="ar"/>
              </w:rPr>
              <w:t>客户端能够运行在国产电脑系统上,适配龙芯、鲲鹏等内核版本，并能保证功能运行良好</w:t>
            </w:r>
          </w:p>
          <w:p>
            <w:pPr>
              <w:keepNext w:val="0"/>
              <w:keepLines w:val="0"/>
              <w:widowControl/>
              <w:numPr>
                <w:ilvl w:val="0"/>
                <w:numId w:val="3"/>
              </w:numPr>
              <w:suppressLineNumbers w:val="0"/>
              <w:spacing w:before="0" w:beforeAutospacing="0" w:after="0" w:afterAutospacing="0"/>
              <w:ind w:left="0" w:right="0"/>
              <w:jc w:val="left"/>
              <w:textAlignment w:val="center"/>
              <w:rPr>
                <w:rFonts w:hint="default" w:ascii="宋体" w:hAnsi="宋体" w:cs="宋体"/>
                <w:i w:val="0"/>
                <w:iCs w:val="0"/>
                <w:color w:val="000000"/>
                <w:kern w:val="0"/>
                <w:sz w:val="24"/>
                <w:szCs w:val="24"/>
                <w:u w:val="none"/>
                <w:lang w:val="en-US" w:eastAsia="zh-CN" w:bidi="ar"/>
              </w:rPr>
            </w:pPr>
            <w:r>
              <w:rPr>
                <w:rFonts w:hint="eastAsia" w:ascii="宋体" w:hAnsi="宋体" w:cs="宋体"/>
                <w:i w:val="0"/>
                <w:iCs w:val="0"/>
                <w:color w:val="000000"/>
                <w:kern w:val="0"/>
                <w:sz w:val="24"/>
                <w:szCs w:val="24"/>
                <w:u w:val="none"/>
                <w:lang w:val="en-US" w:eastAsia="zh-CN" w:bidi="ar"/>
              </w:rPr>
              <w:t>客户端能够运行在移动端，并能保证功能运行良好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7" w:hRule="atLeast"/>
          <w:jc w:val="center"/>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维保要求</w:t>
            </w:r>
          </w:p>
        </w:tc>
        <w:tc>
          <w:tcPr>
            <w:tcW w:w="238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件质保期</w:t>
            </w:r>
          </w:p>
        </w:tc>
        <w:tc>
          <w:tcPr>
            <w:tcW w:w="62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本项目整体质保期不低于3年。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3"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238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软件升级</w:t>
            </w:r>
          </w:p>
        </w:tc>
        <w:tc>
          <w:tcPr>
            <w:tcW w:w="62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软件终生升级。所发生的费用包含在本次采购预算中。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0"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238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技术支持</w:t>
            </w:r>
          </w:p>
        </w:tc>
        <w:tc>
          <w:tcPr>
            <w:tcW w:w="62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质保期内，提供7*24小时技术支持服务，对于故障问题远程无法解决的，须派遣工程师上门解决问题。所发生的费用包含在本次采购预算中。</w:t>
            </w:r>
          </w:p>
        </w:tc>
      </w:tr>
    </w:tbl>
    <w:p>
      <w:pPr>
        <w:pStyle w:val="26"/>
        <w:spacing w:line="360" w:lineRule="auto"/>
        <w:rPr>
          <w:rFonts w:hint="eastAsia" w:ascii="宋体" w:hAnsi="宋体" w:eastAsia="宋体" w:cs="宋体"/>
          <w:color w:val="auto"/>
          <w:lang w:val="en-US" w:eastAsia="zh-CN"/>
        </w:rPr>
      </w:pPr>
    </w:p>
    <w:p>
      <w:pPr>
        <w:pStyle w:val="26"/>
        <w:spacing w:line="360" w:lineRule="auto"/>
        <w:ind w:firstLine="520" w:firstLineChars="200"/>
        <w:rPr>
          <w:rFonts w:hint="default" w:ascii="宋体" w:hAnsi="宋体" w:eastAsia="宋体" w:cs="宋体"/>
          <w:color w:val="auto"/>
          <w:lang w:val="en-US" w:eastAsia="zh-CN"/>
        </w:rPr>
      </w:pPr>
    </w:p>
    <w:p>
      <w:pPr>
        <w:pStyle w:val="26"/>
        <w:spacing w:line="360" w:lineRule="auto"/>
        <w:ind w:firstLine="520" w:firstLineChars="200"/>
        <w:rPr>
          <w:rFonts w:hint="default" w:ascii="宋体" w:hAnsi="宋体" w:cs="宋体"/>
          <w:color w:val="auto"/>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bookmarkEnd w:id="0"/>
    <w:p>
      <w:pPr>
        <w:numPr>
          <w:ilvl w:val="0"/>
          <w:numId w:val="0"/>
        </w:numPr>
        <w:outlineLvl w:val="1"/>
        <w:rPr>
          <w:rFonts w:hint="eastAsia" w:ascii="宋体" w:hAnsi="宋体" w:cs="宋体"/>
          <w:b/>
          <w:color w:val="auto"/>
          <w:sz w:val="28"/>
          <w:szCs w:val="28"/>
        </w:rPr>
      </w:pPr>
      <w:r>
        <w:rPr>
          <w:rFonts w:hint="eastAsia" w:ascii="宋体" w:hAnsi="宋体" w:cs="宋体"/>
          <w:b/>
          <w:color w:val="auto"/>
          <w:sz w:val="28"/>
          <w:szCs w:val="28"/>
        </w:rPr>
        <w:t>二、采购需求调查咨询内容（就以下服务提出意见或建议）</w:t>
      </w:r>
    </w:p>
    <w:p>
      <w:pPr>
        <w:pStyle w:val="26"/>
        <w:spacing w:line="360" w:lineRule="auto"/>
        <w:rPr>
          <w:rFonts w:hint="default" w:ascii="宋体" w:hAnsi="宋体" w:eastAsia="宋体" w:cs="宋体"/>
          <w:color w:val="auto"/>
          <w:lang w:val="en-US" w:eastAsia="zh-CN"/>
        </w:rPr>
      </w:pPr>
      <w:r>
        <w:rPr>
          <w:rFonts w:hint="eastAsia" w:ascii="宋体" w:hAnsi="宋体" w:cs="宋体"/>
          <w:b/>
          <w:bCs/>
          <w:sz w:val="24"/>
          <w:szCs w:val="24"/>
          <w:lang w:val="en-US" w:eastAsia="zh-CN"/>
        </w:rPr>
        <w:t>（一）针对本项目适用的设备情况</w:t>
      </w:r>
    </w:p>
    <w:p>
      <w:pPr>
        <w:pStyle w:val="26"/>
        <w:spacing w:line="360" w:lineRule="auto"/>
        <w:rPr>
          <w:rFonts w:hint="eastAsia" w:ascii="宋体" w:hAnsi="宋体" w:cs="宋体"/>
          <w:color w:val="auto"/>
          <w:lang w:val="en-US" w:eastAsia="zh-CN"/>
        </w:rPr>
      </w:pPr>
      <w:r>
        <w:rPr>
          <w:rFonts w:hint="eastAsia" w:ascii="宋体" w:hAnsi="宋体" w:cs="宋体"/>
          <w:color w:val="auto"/>
          <w:lang w:val="en-US" w:eastAsia="zh-CN"/>
        </w:rPr>
        <w:t>1、品牌</w:t>
      </w:r>
    </w:p>
    <w:p>
      <w:pPr>
        <w:pStyle w:val="26"/>
        <w:spacing w:line="360" w:lineRule="auto"/>
        <w:rPr>
          <w:rFonts w:hint="eastAsia" w:ascii="宋体" w:hAnsi="宋体" w:cs="宋体"/>
          <w:color w:val="auto"/>
          <w:lang w:val="en-US" w:eastAsia="zh-CN"/>
        </w:rPr>
      </w:pPr>
      <w:r>
        <w:rPr>
          <w:rFonts w:hint="eastAsia" w:ascii="宋体" w:hAnsi="宋体" w:cs="宋体"/>
          <w:color w:val="auto"/>
          <w:lang w:val="en-US" w:eastAsia="zh-CN"/>
        </w:rPr>
        <w:t>2、型号</w:t>
      </w:r>
    </w:p>
    <w:p>
      <w:pPr>
        <w:pStyle w:val="26"/>
        <w:spacing w:line="360" w:lineRule="auto"/>
        <w:rPr>
          <w:rFonts w:hint="eastAsia" w:ascii="宋体" w:hAnsi="宋体" w:cs="宋体"/>
          <w:color w:val="auto"/>
          <w:lang w:val="en-US" w:eastAsia="zh-CN"/>
        </w:rPr>
      </w:pPr>
      <w:r>
        <w:rPr>
          <w:rFonts w:hint="eastAsia" w:ascii="宋体" w:hAnsi="宋体" w:cs="宋体"/>
          <w:color w:val="auto"/>
          <w:lang w:val="en-US" w:eastAsia="zh-CN"/>
        </w:rPr>
        <w:t>3、具体设备参数</w:t>
      </w:r>
    </w:p>
    <w:p>
      <w:pPr>
        <w:pStyle w:val="26"/>
        <w:spacing w:line="360" w:lineRule="auto"/>
        <w:rPr>
          <w:rFonts w:hint="eastAsia" w:ascii="宋体" w:hAnsi="宋体" w:cs="宋体"/>
          <w:color w:val="auto"/>
          <w:lang w:val="en-US" w:eastAsia="zh-CN"/>
        </w:rPr>
      </w:pPr>
      <w:r>
        <w:rPr>
          <w:rFonts w:hint="eastAsia" w:ascii="宋体" w:hAnsi="宋体" w:cs="宋体"/>
          <w:color w:val="auto"/>
          <w:lang w:val="en-US" w:eastAsia="zh-CN"/>
        </w:rPr>
        <w:t>4、质保期外运维费用（  元/年）</w:t>
      </w:r>
    </w:p>
    <w:p>
      <w:pPr>
        <w:pStyle w:val="26"/>
        <w:spacing w:line="360" w:lineRule="auto"/>
        <w:rPr>
          <w:rFonts w:hint="eastAsia" w:ascii="宋体" w:hAnsi="宋体" w:cs="宋体"/>
          <w:color w:val="auto"/>
          <w:lang w:val="en-US" w:eastAsia="zh-CN"/>
        </w:rPr>
      </w:pPr>
      <w:r>
        <w:rPr>
          <w:rFonts w:hint="eastAsia" w:ascii="宋体" w:hAnsi="宋体" w:cs="宋体"/>
          <w:color w:val="auto"/>
          <w:lang w:val="en-US" w:eastAsia="zh-CN"/>
        </w:rPr>
        <w:t>5、升级更新费用（有/无；如有，填报相应价格）</w:t>
      </w:r>
    </w:p>
    <w:p>
      <w:pPr>
        <w:pStyle w:val="26"/>
        <w:spacing w:line="360" w:lineRule="auto"/>
        <w:rPr>
          <w:rFonts w:hint="eastAsia" w:ascii="宋体" w:hAnsi="宋体" w:cs="宋体"/>
          <w:color w:val="auto"/>
          <w:lang w:val="en-US" w:eastAsia="zh-CN"/>
        </w:rPr>
      </w:pPr>
      <w:r>
        <w:rPr>
          <w:rFonts w:hint="eastAsia" w:ascii="宋体" w:hAnsi="宋体" w:cs="宋体"/>
          <w:color w:val="auto"/>
          <w:lang w:val="en-US" w:eastAsia="zh-CN"/>
        </w:rPr>
        <w:t>6.随机备品备件（有/无；如有，填报相应价格）</w:t>
      </w:r>
    </w:p>
    <w:p>
      <w:pPr>
        <w:pStyle w:val="26"/>
        <w:spacing w:line="360" w:lineRule="auto"/>
        <w:rPr>
          <w:rFonts w:hint="default" w:ascii="宋体" w:hAnsi="宋体" w:cs="宋体"/>
          <w:color w:val="auto"/>
          <w:lang w:val="en-US" w:eastAsia="zh-CN"/>
        </w:rPr>
      </w:pPr>
      <w:r>
        <w:rPr>
          <w:rFonts w:hint="eastAsia" w:ascii="宋体" w:hAnsi="宋体" w:cs="宋体"/>
          <w:color w:val="auto"/>
          <w:lang w:val="en-US" w:eastAsia="zh-CN"/>
        </w:rPr>
        <w:t>7.耗材信息（是否开放，折合单价）</w:t>
      </w: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（二）</w:t>
      </w:r>
      <w:r>
        <w:rPr>
          <w:rFonts w:hint="eastAsia" w:ascii="宋体" w:hAnsi="宋体" w:eastAsia="宋体" w:cs="宋体"/>
          <w:b/>
          <w:bCs/>
          <w:sz w:val="24"/>
          <w:szCs w:val="24"/>
          <w:lang w:val="en-US" w:eastAsia="zh-CN"/>
        </w:rPr>
        <w:t>市场供给</w:t>
      </w:r>
    </w:p>
    <w:p>
      <w:pPr>
        <w:pStyle w:val="26"/>
        <w:spacing w:line="360" w:lineRule="auto"/>
        <w:rPr>
          <w:rFonts w:hint="eastAsia" w:ascii="宋体" w:hAnsi="宋体" w:eastAsia="宋体" w:cs="宋体"/>
          <w:color w:val="auto"/>
          <w:lang w:eastAsia="zh-CN"/>
        </w:rPr>
      </w:pPr>
      <w:r>
        <w:rPr>
          <w:rFonts w:hint="eastAsia" w:ascii="宋体" w:hAnsi="宋体" w:cs="宋体"/>
          <w:color w:val="auto"/>
          <w:lang w:eastAsia="zh-CN"/>
        </w:rPr>
        <w:t>（</w:t>
      </w:r>
      <w:r>
        <w:rPr>
          <w:rFonts w:hint="eastAsia" w:ascii="宋体" w:hAnsi="宋体" w:cs="宋体"/>
          <w:color w:val="auto"/>
          <w:lang w:val="en-US" w:eastAsia="zh-CN"/>
        </w:rPr>
        <w:t>供应商针对本次采购项目提供目前市场情况，如有可附相关佐证材料</w:t>
      </w:r>
      <w:r>
        <w:rPr>
          <w:rFonts w:hint="eastAsia" w:ascii="宋体" w:hAnsi="宋体" w:cs="宋体"/>
          <w:color w:val="auto"/>
          <w:lang w:eastAsia="zh-CN"/>
        </w:rPr>
        <w:t>）</w:t>
      </w: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cs="宋体"/>
          <w:b/>
          <w:bCs/>
          <w:sz w:val="24"/>
          <w:szCs w:val="24"/>
          <w:lang w:val="en-US" w:eastAsia="zh-CN"/>
        </w:rPr>
      </w:pPr>
      <w:r>
        <w:rPr>
          <w:rFonts w:hint="eastAsia" w:ascii="宋体" w:hAnsi="宋体" w:cs="宋体"/>
          <w:b/>
          <w:bCs/>
          <w:sz w:val="24"/>
          <w:szCs w:val="24"/>
          <w:lang w:val="en-US" w:eastAsia="zh-CN"/>
        </w:rPr>
        <w:t>（三）同类采购项目历史成交信息</w:t>
      </w:r>
    </w:p>
    <w:p>
      <w:pPr>
        <w:pStyle w:val="26"/>
        <w:spacing w:line="360" w:lineRule="auto"/>
        <w:rPr>
          <w:rFonts w:hint="eastAsia" w:ascii="宋体" w:hAnsi="宋体" w:cs="宋体"/>
          <w:color w:val="auto"/>
          <w:lang w:eastAsia="zh-CN"/>
        </w:rPr>
      </w:pPr>
      <w:r>
        <w:rPr>
          <w:rFonts w:hint="eastAsia" w:ascii="宋体" w:hAnsi="宋体" w:cs="宋体"/>
          <w:color w:val="auto"/>
          <w:lang w:val="en-US" w:eastAsia="zh-CN"/>
        </w:rPr>
        <w:t>1、供应商应针对本次采购项目提供公司2020年1月1日至今同类采购项目历史成交信息，如有应列表并附上相关合同、中标/成交结果公告等材料</w:t>
      </w:r>
      <w:r>
        <w:rPr>
          <w:rFonts w:hint="eastAsia" w:ascii="宋体" w:hAnsi="宋体" w:cs="宋体"/>
          <w:color w:val="auto"/>
          <w:lang w:eastAsia="zh-CN"/>
        </w:rPr>
        <w:t>。</w:t>
      </w:r>
    </w:p>
    <w:p>
      <w:pPr>
        <w:pStyle w:val="26"/>
        <w:spacing w:line="360" w:lineRule="auto"/>
        <w:rPr>
          <w:rFonts w:hint="eastAsia" w:ascii="方正小标宋简体" w:hAnsi="方正小标宋简体" w:eastAsia="方正小标宋简体" w:cs="方正小标宋简体"/>
          <w:bCs/>
          <w:color w:val="auto"/>
          <w:kern w:val="0"/>
          <w:sz w:val="44"/>
          <w:szCs w:val="44"/>
        </w:rPr>
      </w:pPr>
      <w:r>
        <w:rPr>
          <w:rFonts w:hint="eastAsia" w:ascii="宋体" w:hAnsi="宋体" w:cs="宋体"/>
          <w:color w:val="auto"/>
          <w:lang w:val="en-US" w:eastAsia="zh-CN"/>
        </w:rPr>
        <w:t>2、成本组成（如有）：可提供类似项目的成交金额的分项报价或服务成本分析说明等数据</w:t>
      </w: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cs="宋体"/>
          <w:b/>
          <w:bCs/>
          <w:sz w:val="24"/>
          <w:szCs w:val="24"/>
          <w:lang w:val="en-US" w:eastAsia="zh-CN"/>
        </w:rPr>
      </w:pPr>
      <w:r>
        <w:rPr>
          <w:rFonts w:hint="eastAsia" w:ascii="宋体" w:hAnsi="宋体" w:cs="宋体"/>
          <w:b/>
          <w:bCs/>
          <w:sz w:val="24"/>
          <w:szCs w:val="24"/>
          <w:lang w:val="en-US" w:eastAsia="zh-CN"/>
        </w:rPr>
        <w:t xml:space="preserve">（四）针对本项目的价格测算 </w:t>
      </w:r>
    </w:p>
    <w:p>
      <w:pPr>
        <w:numPr>
          <w:ilvl w:val="0"/>
          <w:numId w:val="0"/>
        </w:numPr>
        <w:spacing w:line="360" w:lineRule="auto"/>
        <w:jc w:val="both"/>
        <w:rPr>
          <w:rFonts w:hint="eastAsia" w:ascii="宋体" w:hAnsi="宋体" w:cs="宋体"/>
          <w:b/>
          <w:bCs/>
          <w:sz w:val="24"/>
          <w:szCs w:val="24"/>
          <w:lang w:val="en-US" w:eastAsia="zh-CN"/>
        </w:rPr>
      </w:pPr>
    </w:p>
    <w:p>
      <w:pPr>
        <w:numPr>
          <w:ilvl w:val="0"/>
          <w:numId w:val="4"/>
        </w:numPr>
        <w:spacing w:line="360" w:lineRule="auto"/>
        <w:jc w:val="both"/>
        <w:rPr>
          <w:rFonts w:hint="eastAsia" w:ascii="宋体" w:hAnsi="宋体" w:cs="宋体"/>
          <w:b/>
          <w:bCs/>
          <w:sz w:val="24"/>
          <w:szCs w:val="24"/>
          <w:lang w:val="en-US" w:eastAsia="zh-CN"/>
        </w:rPr>
      </w:pPr>
      <w:r>
        <w:rPr>
          <w:rFonts w:hint="eastAsia" w:ascii="宋体" w:hAnsi="宋体" w:cs="宋体"/>
          <w:b/>
          <w:bCs/>
          <w:sz w:val="24"/>
          <w:szCs w:val="24"/>
          <w:lang w:val="en-US" w:eastAsia="zh-CN"/>
        </w:rPr>
        <w:t>可能涉及的运行维护、升级更新、备品备件、耗材等后续采购情况</w:t>
      </w:r>
    </w:p>
    <w:p>
      <w:pPr>
        <w:numPr>
          <w:ilvl w:val="0"/>
          <w:numId w:val="0"/>
        </w:numPr>
        <w:spacing w:line="360" w:lineRule="auto"/>
        <w:jc w:val="both"/>
        <w:rPr>
          <w:rFonts w:hint="eastAsia" w:ascii="宋体" w:hAnsi="宋体" w:cs="宋体"/>
          <w:b/>
          <w:bCs/>
          <w:sz w:val="24"/>
          <w:szCs w:val="24"/>
          <w:lang w:val="en-US" w:eastAsia="zh-CN"/>
        </w:rPr>
      </w:pPr>
    </w:p>
    <w:p>
      <w:pPr>
        <w:numPr>
          <w:ilvl w:val="0"/>
          <w:numId w:val="4"/>
        </w:numPr>
        <w:spacing w:line="360" w:lineRule="auto"/>
        <w:jc w:val="both"/>
        <w:rPr>
          <w:rFonts w:hint="eastAsia" w:ascii="宋体" w:hAnsi="宋体" w:cs="宋体"/>
          <w:b/>
          <w:bCs/>
          <w:sz w:val="24"/>
          <w:szCs w:val="24"/>
          <w:lang w:val="en-US" w:eastAsia="zh-CN"/>
        </w:rPr>
      </w:pPr>
      <w:r>
        <w:rPr>
          <w:rFonts w:hint="eastAsia" w:ascii="宋体" w:hAnsi="宋体" w:cs="宋体"/>
          <w:b/>
          <w:bCs/>
          <w:sz w:val="24"/>
          <w:szCs w:val="24"/>
          <w:lang w:val="en-US" w:eastAsia="zh-CN"/>
        </w:rPr>
        <w:t xml:space="preserve">其他相关情况 </w:t>
      </w:r>
    </w:p>
    <w:p>
      <w:pPr>
        <w:pStyle w:val="26"/>
        <w:spacing w:line="360" w:lineRule="auto"/>
        <w:rPr>
          <w:rFonts w:hint="eastAsia" w:ascii="宋体" w:hAnsi="宋体" w:eastAsia="宋体" w:cs="宋体"/>
          <w:b/>
          <w:bCs/>
          <w:sz w:val="24"/>
          <w:szCs w:val="24"/>
          <w:lang w:val="en-US" w:eastAsia="zh-CN"/>
        </w:rPr>
      </w:pPr>
      <w:r>
        <w:rPr>
          <w:rFonts w:hint="eastAsia" w:ascii="宋体" w:hAnsi="宋体" w:cs="宋体"/>
          <w:color w:val="auto"/>
          <w:lang w:val="en-US" w:eastAsia="zh-CN"/>
        </w:rPr>
        <w:t>1、供应商结合需求情况，对本项目提出的合理化建议；</w:t>
      </w:r>
    </w:p>
    <w:p>
      <w:pPr>
        <w:pStyle w:val="26"/>
        <w:spacing w:line="360" w:lineRule="auto"/>
        <w:rPr>
          <w:rFonts w:hint="default" w:ascii="宋体" w:hAnsi="宋体" w:eastAsia="宋体" w:cs="宋体"/>
          <w:b/>
          <w:bCs/>
          <w:sz w:val="24"/>
          <w:szCs w:val="24"/>
          <w:lang w:val="en-US" w:eastAsia="zh-CN"/>
        </w:rPr>
      </w:pPr>
      <w:r>
        <w:rPr>
          <w:rFonts w:hint="eastAsia" w:ascii="宋体" w:hAnsi="宋体" w:cs="宋体"/>
          <w:color w:val="auto"/>
          <w:lang w:val="en-US" w:eastAsia="zh-CN"/>
        </w:rPr>
        <w:t>2、针对本次项目，供应商提出的内容不得出现政府采购负面清单中的内容。具体内容详见附件湖北省政府采购负面清单、武汉市政府采购负面清单。</w:t>
      </w:r>
    </w:p>
    <w:p>
      <w:pPr>
        <w:numPr>
          <w:ilvl w:val="0"/>
          <w:numId w:val="0"/>
        </w:numPr>
        <w:outlineLvl w:val="1"/>
        <w:rPr>
          <w:rFonts w:hint="eastAsia" w:ascii="宋体" w:hAnsi="宋体" w:cs="宋体"/>
          <w:b/>
          <w:color w:val="auto"/>
          <w:sz w:val="28"/>
          <w:szCs w:val="28"/>
        </w:rPr>
      </w:pPr>
      <w:r>
        <w:rPr>
          <w:rFonts w:hint="eastAsia" w:ascii="宋体" w:hAnsi="宋体" w:cs="宋体"/>
          <w:b/>
          <w:color w:val="auto"/>
          <w:sz w:val="28"/>
          <w:szCs w:val="28"/>
          <w:lang w:val="en-US" w:eastAsia="zh-CN"/>
        </w:rPr>
        <w:t>三</w:t>
      </w:r>
      <w:r>
        <w:rPr>
          <w:rFonts w:hint="eastAsia" w:ascii="宋体" w:hAnsi="宋体" w:cs="宋体"/>
          <w:b/>
          <w:color w:val="auto"/>
          <w:sz w:val="28"/>
          <w:szCs w:val="28"/>
        </w:rPr>
        <w:t>、需求调查反馈意见报告相关材料（格式）</w:t>
      </w:r>
    </w:p>
    <w:p>
      <w:pPr>
        <w:pStyle w:val="11"/>
        <w:tabs>
          <w:tab w:val="right" w:leader="dot" w:pos="8306"/>
        </w:tabs>
        <w:spacing w:line="480" w:lineRule="auto"/>
        <w:rPr>
          <w:rFonts w:hint="eastAsia" w:eastAsia="宋体"/>
          <w:b/>
          <w:bCs/>
          <w:color w:val="auto"/>
          <w:sz w:val="28"/>
          <w:szCs w:val="32"/>
          <w:lang w:val="en-US" w:eastAsia="zh-CN"/>
        </w:rPr>
      </w:pPr>
      <w:r>
        <w:rPr>
          <w:rFonts w:hint="eastAsia"/>
          <w:b/>
          <w:bCs/>
          <w:color w:val="auto"/>
          <w:sz w:val="28"/>
          <w:szCs w:val="48"/>
          <w:lang w:val="en-US" w:eastAsia="zh-CN"/>
        </w:rPr>
        <w:t>（一）需求调查反馈对象主体简介</w:t>
      </w:r>
    </w:p>
    <w:p>
      <w:pPr>
        <w:pStyle w:val="11"/>
        <w:tabs>
          <w:tab w:val="right" w:leader="dot" w:pos="8306"/>
        </w:tabs>
        <w:spacing w:line="480" w:lineRule="auto"/>
        <w:rPr>
          <w:rFonts w:hint="default" w:eastAsia="宋体"/>
          <w:b/>
          <w:bCs/>
          <w:color w:val="auto"/>
          <w:sz w:val="28"/>
          <w:szCs w:val="32"/>
          <w:lang w:val="en-US" w:eastAsia="zh-CN"/>
        </w:rPr>
      </w:pPr>
      <w:r>
        <w:rPr>
          <w:rFonts w:hint="eastAsia"/>
          <w:b/>
          <w:bCs/>
          <w:color w:val="auto"/>
          <w:sz w:val="28"/>
          <w:szCs w:val="48"/>
          <w:lang w:eastAsia="zh-CN"/>
        </w:rPr>
        <w:t>（</w:t>
      </w:r>
      <w:r>
        <w:rPr>
          <w:rFonts w:hint="eastAsia"/>
          <w:b/>
          <w:bCs/>
          <w:color w:val="auto"/>
          <w:sz w:val="28"/>
          <w:szCs w:val="48"/>
          <w:lang w:val="en-US" w:eastAsia="zh-CN"/>
        </w:rPr>
        <w:t>二</w:t>
      </w:r>
      <w:r>
        <w:rPr>
          <w:rFonts w:hint="eastAsia"/>
          <w:b/>
          <w:bCs/>
          <w:color w:val="auto"/>
          <w:sz w:val="28"/>
          <w:szCs w:val="48"/>
          <w:lang w:eastAsia="zh-CN"/>
        </w:rPr>
        <w:t>）</w:t>
      </w:r>
      <w:r>
        <w:rPr>
          <w:rFonts w:hint="eastAsia"/>
          <w:b/>
          <w:bCs/>
          <w:color w:val="auto"/>
          <w:sz w:val="28"/>
          <w:szCs w:val="48"/>
          <w:lang w:val="en-US" w:eastAsia="zh-CN"/>
        </w:rPr>
        <w:t>对于采购需求调查咨询内容的响应情况</w:t>
      </w:r>
    </w:p>
    <w:p>
      <w:pPr>
        <w:numPr>
          <w:ilvl w:val="0"/>
          <w:numId w:val="0"/>
        </w:numPr>
        <w:spacing w:line="360" w:lineRule="auto"/>
        <w:ind w:firstLine="482" w:firstLineChars="200"/>
        <w:jc w:val="both"/>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1、</w:t>
      </w:r>
      <w:r>
        <w:rPr>
          <w:rFonts w:hint="eastAsia" w:ascii="宋体" w:hAnsi="宋体" w:eastAsia="宋体" w:cs="宋体"/>
          <w:b/>
          <w:bCs/>
          <w:sz w:val="24"/>
          <w:szCs w:val="24"/>
          <w:lang w:val="en-US" w:eastAsia="zh-CN"/>
        </w:rPr>
        <w:t>相关产业发展</w:t>
      </w:r>
    </w:p>
    <w:p>
      <w:pPr>
        <w:numPr>
          <w:ilvl w:val="0"/>
          <w:numId w:val="0"/>
        </w:numPr>
        <w:spacing w:line="360" w:lineRule="auto"/>
        <w:ind w:firstLine="482" w:firstLineChars="200"/>
        <w:jc w:val="both"/>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2、</w:t>
      </w:r>
      <w:r>
        <w:rPr>
          <w:rFonts w:hint="eastAsia" w:ascii="宋体" w:hAnsi="宋体" w:eastAsia="宋体" w:cs="宋体"/>
          <w:b/>
          <w:bCs/>
          <w:sz w:val="24"/>
          <w:szCs w:val="24"/>
          <w:lang w:val="en-US" w:eastAsia="zh-CN"/>
        </w:rPr>
        <w:t>市场供给</w:t>
      </w:r>
    </w:p>
    <w:p>
      <w:pPr>
        <w:numPr>
          <w:ilvl w:val="0"/>
          <w:numId w:val="0"/>
        </w:numPr>
        <w:spacing w:line="360" w:lineRule="auto"/>
        <w:ind w:firstLine="482" w:firstLineChars="200"/>
        <w:jc w:val="both"/>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同类采购项目历史成交信息</w:t>
      </w:r>
    </w:p>
    <w:p>
      <w:pPr>
        <w:numPr>
          <w:ilvl w:val="0"/>
          <w:numId w:val="0"/>
        </w:numPr>
        <w:spacing w:line="360" w:lineRule="auto"/>
        <w:ind w:firstLine="482" w:firstLineChars="200"/>
        <w:jc w:val="both"/>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4、</w:t>
      </w:r>
      <w:r>
        <w:rPr>
          <w:rFonts w:hint="eastAsia" w:ascii="宋体" w:hAnsi="宋体" w:eastAsia="宋体" w:cs="宋体"/>
          <w:b/>
          <w:bCs/>
          <w:sz w:val="24"/>
          <w:szCs w:val="24"/>
          <w:lang w:val="en-US" w:eastAsia="zh-CN"/>
        </w:rPr>
        <w:t>针对本项目的价格测算</w:t>
      </w:r>
    </w:p>
    <w:p>
      <w:pPr>
        <w:numPr>
          <w:ilvl w:val="0"/>
          <w:numId w:val="0"/>
        </w:numPr>
        <w:spacing w:line="360" w:lineRule="auto"/>
        <w:ind w:firstLine="482" w:firstLineChars="200"/>
        <w:jc w:val="both"/>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5、</w:t>
      </w:r>
      <w:r>
        <w:rPr>
          <w:rFonts w:hint="eastAsia" w:ascii="宋体" w:hAnsi="宋体" w:eastAsia="宋体" w:cs="宋体"/>
          <w:b/>
          <w:bCs/>
          <w:sz w:val="24"/>
          <w:szCs w:val="24"/>
          <w:lang w:val="en-US" w:eastAsia="zh-CN"/>
        </w:rPr>
        <w:t>可能涉及的运行维护、升级更新、备品备件、耗材等后续采购情况</w:t>
      </w:r>
    </w:p>
    <w:p>
      <w:pPr>
        <w:numPr>
          <w:ilvl w:val="0"/>
          <w:numId w:val="0"/>
        </w:numPr>
        <w:spacing w:line="360" w:lineRule="auto"/>
        <w:ind w:firstLine="482" w:firstLineChars="200"/>
        <w:jc w:val="both"/>
        <w:rPr>
          <w:rFonts w:hint="eastAsia" w:ascii="宋体" w:hAnsi="宋体" w:cs="宋体"/>
          <w:b/>
          <w:bCs/>
          <w:sz w:val="24"/>
          <w:szCs w:val="24"/>
          <w:lang w:val="en-US" w:eastAsia="zh-CN"/>
        </w:rPr>
      </w:pPr>
      <w:r>
        <w:rPr>
          <w:rFonts w:hint="eastAsia" w:ascii="宋体" w:hAnsi="宋体" w:cs="宋体"/>
          <w:b/>
          <w:bCs/>
          <w:sz w:val="24"/>
          <w:szCs w:val="24"/>
          <w:lang w:val="en-US" w:eastAsia="zh-CN"/>
        </w:rPr>
        <w:t>6、其他相关情况</w:t>
      </w:r>
    </w:p>
    <w:p>
      <w:pPr>
        <w:widowControl/>
        <w:jc w:val="both"/>
        <w:rPr>
          <w:rFonts w:hint="eastAsia" w:ascii="方正小标宋简体" w:hAnsi="方正小标宋简体" w:eastAsia="方正小标宋简体" w:cs="方正小标宋简体"/>
          <w:bCs/>
          <w:color w:val="auto"/>
          <w:kern w:val="0"/>
          <w:sz w:val="44"/>
          <w:szCs w:val="44"/>
          <w:lang w:val="en-US" w:eastAsia="zh-CN"/>
        </w:rPr>
        <w:sectPr>
          <w:footerReference r:id="rId3" w:type="default"/>
          <w:pgSz w:w="11906" w:h="16838"/>
          <w:pgMar w:top="1276" w:right="1486" w:bottom="1134" w:left="1800" w:header="851" w:footer="992" w:gutter="0"/>
          <w:pgNumType w:start="1"/>
          <w:cols w:space="720" w:num="1"/>
          <w:docGrid w:type="lines" w:linePitch="312" w:charSpace="0"/>
        </w:sectPr>
      </w:pPr>
    </w:p>
    <w:p>
      <w:pPr>
        <w:widowControl/>
        <w:jc w:val="center"/>
        <w:rPr>
          <w:rFonts w:hint="eastAsia" w:ascii="方正小标宋简体" w:hAnsi="方正小标宋简体" w:eastAsia="方正小标宋简体" w:cs="方正小标宋简体"/>
          <w:bCs/>
          <w:color w:val="auto"/>
          <w:sz w:val="44"/>
          <w:szCs w:val="44"/>
        </w:rPr>
      </w:pPr>
      <w:r>
        <w:rPr>
          <w:rFonts w:hint="eastAsia" w:ascii="方正小标宋简体" w:hAnsi="方正小标宋简体" w:eastAsia="方正小标宋简体" w:cs="方正小标宋简体"/>
          <w:bCs/>
          <w:color w:val="auto"/>
          <w:kern w:val="0"/>
          <w:sz w:val="44"/>
          <w:szCs w:val="44"/>
          <w:lang w:val="en-US" w:eastAsia="zh-CN"/>
        </w:rPr>
        <w:t>附件：湖北省</w:t>
      </w:r>
      <w:r>
        <w:rPr>
          <w:rFonts w:hint="eastAsia" w:ascii="方正小标宋简体" w:hAnsi="方正小标宋简体" w:eastAsia="方正小标宋简体" w:cs="方正小标宋简体"/>
          <w:bCs/>
          <w:color w:val="auto"/>
          <w:kern w:val="0"/>
          <w:sz w:val="44"/>
          <w:szCs w:val="44"/>
        </w:rPr>
        <w:t>政府采购负面清单</w:t>
      </w:r>
      <w:r>
        <w:rPr>
          <w:rFonts w:hint="eastAsia" w:ascii="方正小标宋简体" w:hAnsi="方正小标宋简体" w:eastAsia="方正小标宋简体" w:cs="方正小标宋简体"/>
          <w:bCs/>
          <w:color w:val="auto"/>
          <w:kern w:val="0"/>
          <w:sz w:val="44"/>
          <w:szCs w:val="44"/>
          <w:shd w:val="clear" w:color="auto" w:fill="FFFFFF"/>
          <w:lang w:bidi="ar"/>
        </w:rPr>
        <w:t xml:space="preserve"> </w:t>
      </w:r>
    </w:p>
    <w:p>
      <w:pPr>
        <w:pStyle w:val="26"/>
        <w:spacing w:line="360" w:lineRule="auto"/>
        <w:rPr>
          <w:rFonts w:hint="eastAsia" w:ascii="方正小标宋简体" w:hAnsi="方正小标宋简体" w:eastAsia="方正小标宋简体" w:cs="方正小标宋简体"/>
          <w:bCs/>
          <w:color w:val="auto"/>
          <w:kern w:val="0"/>
          <w:sz w:val="44"/>
          <w:szCs w:val="44"/>
        </w:rPr>
      </w:pPr>
      <w:r>
        <w:rPr>
          <w:rFonts w:hint="eastAsia" w:ascii="宋体" w:hAnsi="宋体" w:cs="宋体"/>
          <w:color w:val="auto"/>
        </w:rPr>
        <w:t>注意：采购需求的内容不得出现负面清单中的内容。</w:t>
      </w:r>
      <w:r>
        <w:drawing>
          <wp:inline distT="0" distB="0" distL="114300" distR="114300">
            <wp:extent cx="8856980" cy="4311015"/>
            <wp:effectExtent l="0" t="0" r="1270" b="1333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6"/>
                    <a:stretch>
                      <a:fillRect/>
                    </a:stretch>
                  </pic:blipFill>
                  <pic:spPr>
                    <a:xfrm>
                      <a:off x="0" y="0"/>
                      <a:ext cx="8856980" cy="4311015"/>
                    </a:xfrm>
                    <a:prstGeom prst="rect">
                      <a:avLst/>
                    </a:prstGeom>
                    <a:noFill/>
                    <a:ln>
                      <a:noFill/>
                    </a:ln>
                  </pic:spPr>
                </pic:pic>
              </a:graphicData>
            </a:graphic>
          </wp:inline>
        </w:drawing>
      </w:r>
    </w:p>
    <w:p>
      <w:pPr>
        <w:widowControl/>
        <w:spacing w:after="150" w:line="450" w:lineRule="atLeast"/>
        <w:jc w:val="both"/>
        <w:rPr>
          <w:rFonts w:hint="eastAsia" w:ascii="微软雅黑" w:hAnsi="微软雅黑" w:eastAsia="微软雅黑" w:cs="微软雅黑"/>
          <w:color w:val="auto"/>
          <w:sz w:val="24"/>
          <w:szCs w:val="24"/>
        </w:rPr>
      </w:pPr>
      <w:r>
        <w:drawing>
          <wp:inline distT="0" distB="0" distL="114300" distR="114300">
            <wp:extent cx="9157335" cy="5380355"/>
            <wp:effectExtent l="0" t="0" r="5715" b="1079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7"/>
                    <a:stretch>
                      <a:fillRect/>
                    </a:stretch>
                  </pic:blipFill>
                  <pic:spPr>
                    <a:xfrm>
                      <a:off x="0" y="0"/>
                      <a:ext cx="9157335" cy="5380355"/>
                    </a:xfrm>
                    <a:prstGeom prst="rect">
                      <a:avLst/>
                    </a:prstGeom>
                    <a:noFill/>
                    <a:ln>
                      <a:noFill/>
                    </a:ln>
                  </pic:spPr>
                </pic:pic>
              </a:graphicData>
            </a:graphic>
          </wp:inline>
        </w:drawing>
      </w:r>
    </w:p>
    <w:p>
      <w:pPr>
        <w:pStyle w:val="26"/>
      </w:pPr>
      <w:r>
        <w:drawing>
          <wp:inline distT="0" distB="0" distL="114300" distR="114300">
            <wp:extent cx="9159240" cy="5446395"/>
            <wp:effectExtent l="0" t="0" r="3810" b="190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8"/>
                    <a:stretch>
                      <a:fillRect/>
                    </a:stretch>
                  </pic:blipFill>
                  <pic:spPr>
                    <a:xfrm>
                      <a:off x="0" y="0"/>
                      <a:ext cx="9159240" cy="5446395"/>
                    </a:xfrm>
                    <a:prstGeom prst="rect">
                      <a:avLst/>
                    </a:prstGeom>
                    <a:noFill/>
                    <a:ln>
                      <a:noFill/>
                    </a:ln>
                  </pic:spPr>
                </pic:pic>
              </a:graphicData>
            </a:graphic>
          </wp:inline>
        </w:drawing>
      </w:r>
    </w:p>
    <w:p>
      <w:pPr>
        <w:pStyle w:val="26"/>
      </w:pPr>
      <w:r>
        <w:drawing>
          <wp:inline distT="0" distB="0" distL="114300" distR="114300">
            <wp:extent cx="9151620" cy="5335905"/>
            <wp:effectExtent l="0" t="0" r="11430" b="1714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9"/>
                    <a:stretch>
                      <a:fillRect/>
                    </a:stretch>
                  </pic:blipFill>
                  <pic:spPr>
                    <a:xfrm>
                      <a:off x="0" y="0"/>
                      <a:ext cx="9151620" cy="5335905"/>
                    </a:xfrm>
                    <a:prstGeom prst="rect">
                      <a:avLst/>
                    </a:prstGeom>
                    <a:noFill/>
                    <a:ln>
                      <a:noFill/>
                    </a:ln>
                  </pic:spPr>
                </pic:pic>
              </a:graphicData>
            </a:graphic>
          </wp:inline>
        </w:drawing>
      </w:r>
    </w:p>
    <w:p>
      <w:pPr>
        <w:pStyle w:val="26"/>
      </w:pPr>
      <w:r>
        <w:drawing>
          <wp:inline distT="0" distB="0" distL="114300" distR="114300">
            <wp:extent cx="9159240" cy="5722620"/>
            <wp:effectExtent l="0" t="0" r="3810" b="1143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10"/>
                    <a:stretch>
                      <a:fillRect/>
                    </a:stretch>
                  </pic:blipFill>
                  <pic:spPr>
                    <a:xfrm>
                      <a:off x="0" y="0"/>
                      <a:ext cx="9159240" cy="5722620"/>
                    </a:xfrm>
                    <a:prstGeom prst="rect">
                      <a:avLst/>
                    </a:prstGeom>
                    <a:noFill/>
                    <a:ln>
                      <a:noFill/>
                    </a:ln>
                  </pic:spPr>
                </pic:pic>
              </a:graphicData>
            </a:graphic>
          </wp:inline>
        </w:drawing>
      </w:r>
    </w:p>
    <w:p>
      <w:pPr>
        <w:pStyle w:val="26"/>
      </w:pPr>
      <w:r>
        <w:drawing>
          <wp:inline distT="0" distB="0" distL="114300" distR="114300">
            <wp:extent cx="9150985" cy="5710555"/>
            <wp:effectExtent l="0" t="0" r="12065" b="4445"/>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11"/>
                    <a:stretch>
                      <a:fillRect/>
                    </a:stretch>
                  </pic:blipFill>
                  <pic:spPr>
                    <a:xfrm>
                      <a:off x="0" y="0"/>
                      <a:ext cx="9150985" cy="5710555"/>
                    </a:xfrm>
                    <a:prstGeom prst="rect">
                      <a:avLst/>
                    </a:prstGeom>
                    <a:noFill/>
                    <a:ln>
                      <a:noFill/>
                    </a:ln>
                  </pic:spPr>
                </pic:pic>
              </a:graphicData>
            </a:graphic>
          </wp:inline>
        </w:drawing>
      </w:r>
    </w:p>
    <w:p>
      <w:pPr>
        <w:pStyle w:val="26"/>
      </w:pPr>
      <w:r>
        <w:drawing>
          <wp:inline distT="0" distB="0" distL="114300" distR="114300">
            <wp:extent cx="9150985" cy="5725795"/>
            <wp:effectExtent l="0" t="0" r="12065" b="8255"/>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12"/>
                    <a:stretch>
                      <a:fillRect/>
                    </a:stretch>
                  </pic:blipFill>
                  <pic:spPr>
                    <a:xfrm>
                      <a:off x="0" y="0"/>
                      <a:ext cx="9150985" cy="5725795"/>
                    </a:xfrm>
                    <a:prstGeom prst="rect">
                      <a:avLst/>
                    </a:prstGeom>
                    <a:noFill/>
                    <a:ln>
                      <a:noFill/>
                    </a:ln>
                  </pic:spPr>
                </pic:pic>
              </a:graphicData>
            </a:graphic>
          </wp:inline>
        </w:drawing>
      </w:r>
    </w:p>
    <w:p>
      <w:pPr>
        <w:pStyle w:val="26"/>
      </w:pPr>
      <w:r>
        <w:drawing>
          <wp:inline distT="0" distB="0" distL="114300" distR="114300">
            <wp:extent cx="9151620" cy="5775325"/>
            <wp:effectExtent l="0" t="0" r="11430" b="1587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13"/>
                    <a:stretch>
                      <a:fillRect/>
                    </a:stretch>
                  </pic:blipFill>
                  <pic:spPr>
                    <a:xfrm>
                      <a:off x="0" y="0"/>
                      <a:ext cx="9151620" cy="5775325"/>
                    </a:xfrm>
                    <a:prstGeom prst="rect">
                      <a:avLst/>
                    </a:prstGeom>
                    <a:noFill/>
                    <a:ln>
                      <a:noFill/>
                    </a:ln>
                  </pic:spPr>
                </pic:pic>
              </a:graphicData>
            </a:graphic>
          </wp:inline>
        </w:drawing>
      </w:r>
    </w:p>
    <w:p>
      <w:pPr>
        <w:pStyle w:val="26"/>
      </w:pPr>
      <w:r>
        <w:drawing>
          <wp:inline distT="0" distB="0" distL="114300" distR="114300">
            <wp:extent cx="9151620" cy="5337810"/>
            <wp:effectExtent l="0" t="0" r="11430" b="15240"/>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14"/>
                    <a:stretch>
                      <a:fillRect/>
                    </a:stretch>
                  </pic:blipFill>
                  <pic:spPr>
                    <a:xfrm>
                      <a:off x="0" y="0"/>
                      <a:ext cx="9151620" cy="5337810"/>
                    </a:xfrm>
                    <a:prstGeom prst="rect">
                      <a:avLst/>
                    </a:prstGeom>
                    <a:noFill/>
                    <a:ln>
                      <a:noFill/>
                    </a:ln>
                  </pic:spPr>
                </pic:pic>
              </a:graphicData>
            </a:graphic>
          </wp:inline>
        </w:drawing>
      </w:r>
    </w:p>
    <w:p>
      <w:pPr>
        <w:pStyle w:val="26"/>
      </w:pPr>
      <w:r>
        <w:drawing>
          <wp:inline distT="0" distB="0" distL="114300" distR="114300">
            <wp:extent cx="9157970" cy="5146040"/>
            <wp:effectExtent l="0" t="0" r="5080" b="16510"/>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15"/>
                    <a:stretch>
                      <a:fillRect/>
                    </a:stretch>
                  </pic:blipFill>
                  <pic:spPr>
                    <a:xfrm>
                      <a:off x="0" y="0"/>
                      <a:ext cx="9157970" cy="5146040"/>
                    </a:xfrm>
                    <a:prstGeom prst="rect">
                      <a:avLst/>
                    </a:prstGeom>
                    <a:noFill/>
                    <a:ln>
                      <a:noFill/>
                    </a:ln>
                  </pic:spPr>
                </pic:pic>
              </a:graphicData>
            </a:graphic>
          </wp:inline>
        </w:drawing>
      </w:r>
    </w:p>
    <w:p>
      <w:pPr>
        <w:pStyle w:val="26"/>
      </w:pPr>
      <w:r>
        <w:drawing>
          <wp:inline distT="0" distB="0" distL="114300" distR="114300">
            <wp:extent cx="9160510" cy="5634355"/>
            <wp:effectExtent l="0" t="0" r="2540" b="4445"/>
            <wp:docPr id="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pic:cNvPicPr>
                      <a:picLocks noChangeAspect="1"/>
                    </pic:cNvPicPr>
                  </pic:nvPicPr>
                  <pic:blipFill>
                    <a:blip r:embed="rId16"/>
                    <a:stretch>
                      <a:fillRect/>
                    </a:stretch>
                  </pic:blipFill>
                  <pic:spPr>
                    <a:xfrm>
                      <a:off x="0" y="0"/>
                      <a:ext cx="9160510" cy="5634355"/>
                    </a:xfrm>
                    <a:prstGeom prst="rect">
                      <a:avLst/>
                    </a:prstGeom>
                    <a:noFill/>
                    <a:ln>
                      <a:noFill/>
                    </a:ln>
                  </pic:spPr>
                </pic:pic>
              </a:graphicData>
            </a:graphic>
          </wp:inline>
        </w:drawing>
      </w:r>
    </w:p>
    <w:p>
      <w:pPr>
        <w:pStyle w:val="26"/>
      </w:pPr>
      <w:r>
        <w:drawing>
          <wp:inline distT="0" distB="0" distL="114300" distR="114300">
            <wp:extent cx="9159240" cy="5390515"/>
            <wp:effectExtent l="0" t="0" r="3810" b="635"/>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17"/>
                    <a:stretch>
                      <a:fillRect/>
                    </a:stretch>
                  </pic:blipFill>
                  <pic:spPr>
                    <a:xfrm>
                      <a:off x="0" y="0"/>
                      <a:ext cx="9159240" cy="5390515"/>
                    </a:xfrm>
                    <a:prstGeom prst="rect">
                      <a:avLst/>
                    </a:prstGeom>
                    <a:noFill/>
                    <a:ln>
                      <a:noFill/>
                    </a:ln>
                  </pic:spPr>
                </pic:pic>
              </a:graphicData>
            </a:graphic>
          </wp:inline>
        </w:drawing>
      </w:r>
    </w:p>
    <w:p>
      <w:pPr>
        <w:pStyle w:val="26"/>
      </w:pPr>
      <w:r>
        <w:drawing>
          <wp:inline distT="0" distB="0" distL="114300" distR="114300">
            <wp:extent cx="9152890" cy="5547360"/>
            <wp:effectExtent l="0" t="0" r="10160" b="15240"/>
            <wp:docPr id="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pic:cNvPicPr>
                      <a:picLocks noChangeAspect="1"/>
                    </pic:cNvPicPr>
                  </pic:nvPicPr>
                  <pic:blipFill>
                    <a:blip r:embed="rId18"/>
                    <a:stretch>
                      <a:fillRect/>
                    </a:stretch>
                  </pic:blipFill>
                  <pic:spPr>
                    <a:xfrm>
                      <a:off x="0" y="0"/>
                      <a:ext cx="9152890" cy="5547360"/>
                    </a:xfrm>
                    <a:prstGeom prst="rect">
                      <a:avLst/>
                    </a:prstGeom>
                    <a:noFill/>
                    <a:ln>
                      <a:noFill/>
                    </a:ln>
                  </pic:spPr>
                </pic:pic>
              </a:graphicData>
            </a:graphic>
          </wp:inline>
        </w:drawing>
      </w:r>
    </w:p>
    <w:p>
      <w:pPr>
        <w:pStyle w:val="26"/>
      </w:pPr>
      <w:r>
        <w:drawing>
          <wp:inline distT="0" distB="0" distL="114300" distR="114300">
            <wp:extent cx="9157335" cy="4027170"/>
            <wp:effectExtent l="0" t="0" r="5715" b="11430"/>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pic:cNvPicPr>
                  </pic:nvPicPr>
                  <pic:blipFill>
                    <a:blip r:embed="rId19"/>
                    <a:stretch>
                      <a:fillRect/>
                    </a:stretch>
                  </pic:blipFill>
                  <pic:spPr>
                    <a:xfrm>
                      <a:off x="0" y="0"/>
                      <a:ext cx="9157335" cy="4027170"/>
                    </a:xfrm>
                    <a:prstGeom prst="rect">
                      <a:avLst/>
                    </a:prstGeom>
                    <a:noFill/>
                    <a:ln>
                      <a:noFill/>
                    </a:ln>
                  </pic:spPr>
                </pic:pic>
              </a:graphicData>
            </a:graphic>
          </wp:inline>
        </w:drawing>
      </w:r>
    </w:p>
    <w:p>
      <w:pPr>
        <w:pStyle w:val="26"/>
      </w:pPr>
    </w:p>
    <w:p>
      <w:pPr>
        <w:pStyle w:val="26"/>
      </w:pPr>
    </w:p>
    <w:p>
      <w:pPr>
        <w:pStyle w:val="26"/>
      </w:pPr>
    </w:p>
    <w:p>
      <w:pPr>
        <w:pStyle w:val="26"/>
      </w:pPr>
    </w:p>
    <w:p>
      <w:pPr>
        <w:pStyle w:val="26"/>
      </w:pPr>
    </w:p>
    <w:p>
      <w:pPr>
        <w:pStyle w:val="26"/>
        <w:rPr>
          <w:rFonts w:hint="eastAsia"/>
          <w:lang w:eastAsia="zh-CN"/>
        </w:rPr>
        <w:sectPr>
          <w:footerReference r:id="rId4" w:type="default"/>
          <w:pgSz w:w="16838" w:h="11906" w:orient="landscape"/>
          <w:pgMar w:top="1800" w:right="1276" w:bottom="1800" w:left="1134" w:header="851" w:footer="992" w:gutter="0"/>
          <w:pgNumType w:start="4"/>
          <w:cols w:space="720" w:num="1"/>
          <w:docGrid w:type="lines" w:linePitch="312" w:charSpace="0"/>
        </w:sectPr>
      </w:pPr>
      <w:r>
        <w:drawing>
          <wp:inline distT="0" distB="0" distL="114300" distR="114300">
            <wp:extent cx="8964295" cy="5568315"/>
            <wp:effectExtent l="0" t="0" r="8255" b="13335"/>
            <wp:docPr id="1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7"/>
                    <pic:cNvPicPr>
                      <a:picLocks noChangeAspect="1"/>
                    </pic:cNvPicPr>
                  </pic:nvPicPr>
                  <pic:blipFill>
                    <a:blip r:embed="rId20"/>
                    <a:stretch>
                      <a:fillRect/>
                    </a:stretch>
                  </pic:blipFill>
                  <pic:spPr>
                    <a:xfrm>
                      <a:off x="0" y="0"/>
                      <a:ext cx="8964295" cy="5568315"/>
                    </a:xfrm>
                    <a:prstGeom prst="rect">
                      <a:avLst/>
                    </a:prstGeom>
                    <a:noFill/>
                    <a:ln>
                      <a:noFill/>
                    </a:ln>
                  </pic:spPr>
                </pic:pic>
              </a:graphicData>
            </a:graphic>
          </wp:inline>
        </w:drawing>
      </w:r>
    </w:p>
    <w:p>
      <w:pPr>
        <w:rPr>
          <w:rFonts w:hint="eastAsia"/>
          <w:lang w:eastAsia="zh-CN"/>
        </w:rPr>
      </w:pPr>
    </w:p>
    <w:p>
      <w:pPr>
        <w:pStyle w:val="26"/>
        <w:rPr>
          <w:rFonts w:hint="eastAsia"/>
          <w:lang w:eastAsia="zh-CN"/>
        </w:rPr>
      </w:pPr>
    </w:p>
    <w:p>
      <w:pPr>
        <w:rPr>
          <w:rFonts w:hint="eastAsia"/>
          <w:lang w:eastAsia="zh-CN"/>
        </w:rPr>
      </w:pPr>
      <w:r>
        <w:rPr>
          <w:rFonts w:hint="eastAsia" w:eastAsia="宋体"/>
          <w:lang w:eastAsia="zh-CN"/>
        </w:rPr>
        <w:drawing>
          <wp:inline distT="0" distB="0" distL="114300" distR="114300">
            <wp:extent cx="5267960" cy="7452360"/>
            <wp:effectExtent l="0" t="0" r="8890" b="15240"/>
            <wp:docPr id="37" name="图片 37" descr="附件：武汉市政府采购负面清单（2022版）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附件：武汉市政府采购负面清单（2022版）_01"/>
                    <pic:cNvPicPr>
                      <a:picLocks noChangeAspect="1"/>
                    </pic:cNvPicPr>
                  </pic:nvPicPr>
                  <pic:blipFill>
                    <a:blip r:embed="rId21"/>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6" name="图片 36" descr="附件：武汉市政府采购负面清单（2022版）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附件：武汉市政府采购负面清单（2022版）_02"/>
                    <pic:cNvPicPr>
                      <a:picLocks noChangeAspect="1"/>
                    </pic:cNvPicPr>
                  </pic:nvPicPr>
                  <pic:blipFill>
                    <a:blip r:embed="rId22"/>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5" name="图片 35" descr="附件：武汉市政府采购负面清单（2022版）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附件：武汉市政府采购负面清单（2022版）_03"/>
                    <pic:cNvPicPr>
                      <a:picLocks noChangeAspect="1"/>
                    </pic:cNvPicPr>
                  </pic:nvPicPr>
                  <pic:blipFill>
                    <a:blip r:embed="rId23"/>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4" name="图片 34" descr="附件：武汉市政府采购负面清单（2022版）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附件：武汉市政府采购负面清单（2022版）_04"/>
                    <pic:cNvPicPr>
                      <a:picLocks noChangeAspect="1"/>
                    </pic:cNvPicPr>
                  </pic:nvPicPr>
                  <pic:blipFill>
                    <a:blip r:embed="rId24"/>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3" name="图片 33" descr="附件：武汉市政府采购负面清单（2022版）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附件：武汉市政府采购负面清单（2022版）_05"/>
                    <pic:cNvPicPr>
                      <a:picLocks noChangeAspect="1"/>
                    </pic:cNvPicPr>
                  </pic:nvPicPr>
                  <pic:blipFill>
                    <a:blip r:embed="rId25"/>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2" name="图片 32" descr="附件：武汉市政府采购负面清单（2022版）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附件：武汉市政府采购负面清单（2022版）_06"/>
                    <pic:cNvPicPr>
                      <a:picLocks noChangeAspect="1"/>
                    </pic:cNvPicPr>
                  </pic:nvPicPr>
                  <pic:blipFill>
                    <a:blip r:embed="rId26"/>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1" name="图片 31" descr="附件：武汉市政府采购负面清单（2022版）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附件：武汉市政府采购负面清单（2022版）_07"/>
                    <pic:cNvPicPr>
                      <a:picLocks noChangeAspect="1"/>
                    </pic:cNvPicPr>
                  </pic:nvPicPr>
                  <pic:blipFill>
                    <a:blip r:embed="rId27"/>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0" name="图片 30" descr="附件：武汉市政府采购负面清单（2022版）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附件：武汉市政府采购负面清单（2022版）_08"/>
                    <pic:cNvPicPr>
                      <a:picLocks noChangeAspect="1"/>
                    </pic:cNvPicPr>
                  </pic:nvPicPr>
                  <pic:blipFill>
                    <a:blip r:embed="rId28"/>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29" name="图片 29" descr="附件：武汉市政府采购负面清单（2022版）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附件：武汉市政府采购负面清单（2022版）_09"/>
                    <pic:cNvPicPr>
                      <a:picLocks noChangeAspect="1"/>
                    </pic:cNvPicPr>
                  </pic:nvPicPr>
                  <pic:blipFill>
                    <a:blip r:embed="rId29"/>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8" name="图片 38" descr="附件：武汉市政府采购负面清单（2022版）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附件：武汉市政府采购负面清单（2022版）_10"/>
                    <pic:cNvPicPr>
                      <a:picLocks noChangeAspect="1"/>
                    </pic:cNvPicPr>
                  </pic:nvPicPr>
                  <pic:blipFill>
                    <a:blip r:embed="rId30"/>
                    <a:stretch>
                      <a:fillRect/>
                    </a:stretch>
                  </pic:blipFill>
                  <pic:spPr>
                    <a:xfrm>
                      <a:off x="0" y="0"/>
                      <a:ext cx="5267960" cy="7452360"/>
                    </a:xfrm>
                    <a:prstGeom prst="rect">
                      <a:avLst/>
                    </a:prstGeom>
                  </pic:spPr>
                </pic:pic>
              </a:graphicData>
            </a:graphic>
          </wp:inline>
        </w:drawing>
      </w:r>
    </w:p>
    <w:sectPr>
      <w:pgSz w:w="11906" w:h="16838"/>
      <w:pgMar w:top="1276" w:right="1800" w:bottom="1134" w:left="1800" w:header="851" w:footer="992" w:gutter="0"/>
      <w:pgNumType w:start="4"/>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ingLiU">
    <w:altName w:val="PMingLiU-ExtB"/>
    <w:panose1 w:val="02020509000000000000"/>
    <w:charset w:val="88"/>
    <w:family w:val="modern"/>
    <w:pitch w:val="default"/>
    <w:sig w:usb0="00000000" w:usb1="00000000" w:usb2="00000016" w:usb3="00000000" w:csb0="00100001" w:csb1="00000000"/>
  </w:font>
  <w:font w:name="仿宋">
    <w:panose1 w:val="02010609060101010101"/>
    <w:charset w:val="86"/>
    <w:family w:val="modern"/>
    <w:pitch w:val="default"/>
    <w:sig w:usb0="800002BF" w:usb1="38CF7CFA" w:usb2="00000016" w:usb3="00000000" w:csb0="00040001" w:csb1="00000000"/>
  </w:font>
  <w:font w:name="方正小标宋简体">
    <w:panose1 w:val="02000000000000000000"/>
    <w:charset w:val="86"/>
    <w:family w:val="auto"/>
    <w:pitch w:val="default"/>
    <w:sig w:usb0="A00002BF" w:usb1="184F6CFA" w:usb2="00000012" w:usb3="00000000" w:csb0="00040001" w:csb1="00000000"/>
  </w:font>
  <w:font w:name="微软雅黑">
    <w:panose1 w:val="020B0503020204020204"/>
    <w:charset w:val="86"/>
    <w:family w:val="swiss"/>
    <w:pitch w:val="default"/>
    <w:sig w:usb0="80000287" w:usb1="2ACF3C50" w:usb2="00000016" w:usb3="00000000" w:csb0="0004001F" w:csb1="00000000"/>
  </w:font>
  <w:font w:name="PMingLiU-ExtB">
    <w:panose1 w:val="02020500000000000000"/>
    <w:charset w:val="88"/>
    <w:family w:val="auto"/>
    <w:pitch w:val="default"/>
    <w:sig w:usb0="8000002F" w:usb1="02000008" w:usb2="0000000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14935" cy="131445"/>
              <wp:effectExtent l="0" t="0" r="0" b="0"/>
              <wp:wrapNone/>
              <wp:docPr id="1" name="文本框 1"/>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a:noFill/>
                      </a:ln>
                    </wps:spPr>
                    <wps:txbx>
                      <w:txbxContent>
                        <w:p>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0.35pt;width:9.05pt;mso-position-horizontal:center;mso-position-horizontal-relative:margin;mso-wrap-style:none;z-index:251659264;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Q+V+SdAAAAADAQAADwAAAAAAAAABACAAAAAiAAAAZHJzL2Rvd25y&#10;ZXYueG1sUEsBAhQAFAAAAAgAh07iQJQa1WfNAQAAlwMAAA4AAAAAAAAAAQAgAAAAHwEAAGRycy9l&#10;Mm9Eb2MueG1sUEsFBgAAAAAGAAYAWQEAAF4FAAAAAA==&#10;">
              <v:fill on="f" focussize="0,0"/>
              <v:stroke on="f"/>
              <v:imagedata o:title=""/>
              <o:lock v:ext="edit" aspectratio="f"/>
              <v:textbox inset="0mm,0mm,0mm,0mm" style="mso-fit-shape-to-text:t;">
                <w:txbxContent>
                  <w:p>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14935" cy="131445"/>
              <wp:effectExtent l="0" t="0" r="0" b="0"/>
              <wp:wrapNone/>
              <wp:docPr id="4" name="文本框 4"/>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a:noFill/>
                      </a:ln>
                    </wps:spPr>
                    <wps:txbx>
                      <w:txbxContent>
                        <w:p>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0.35pt;width:9.05pt;mso-position-horizontal:center;mso-position-horizontal-relative:margin;mso-wrap-style:none;z-index:251660288;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Q+V+SdAAAAADAQAADwAAAAAAAAABACAAAAAiAAAAZHJzL2Rvd25y&#10;ZXYueG1sUEsBAhQAFAAAAAgAh07iQJg3nInNAQAAlwMAAA4AAAAAAAAAAQAgAAAAHwEAAGRycy9l&#10;Mm9Eb2MueG1sUEsFBgAAAAAGAAYAWQEAAF4FAAAAAA==&#10;">
              <v:fill on="f" focussize="0,0"/>
              <v:stroke on="f"/>
              <v:imagedata o:title=""/>
              <o:lock v:ext="edit" aspectratio="f"/>
              <v:textbox inset="0mm,0mm,0mm,0mm" style="mso-fit-shape-to-text:t;">
                <w:txbxContent>
                  <w:p>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6AE1076"/>
    <w:multiLevelType w:val="singleLevel"/>
    <w:tmpl w:val="B6AE1076"/>
    <w:lvl w:ilvl="0" w:tentative="0">
      <w:start w:val="1"/>
      <w:numFmt w:val="decimal"/>
      <w:lvlText w:val="%1."/>
      <w:lvlJc w:val="left"/>
      <w:pPr>
        <w:tabs>
          <w:tab w:val="left" w:pos="312"/>
        </w:tabs>
      </w:pPr>
    </w:lvl>
  </w:abstractNum>
  <w:abstractNum w:abstractNumId="1">
    <w:nsid w:val="00000013"/>
    <w:multiLevelType w:val="multilevel"/>
    <w:tmpl w:val="00000013"/>
    <w:lvl w:ilvl="0" w:tentative="0">
      <w:start w:val="1"/>
      <w:numFmt w:val="decimal"/>
      <w:lvlText w:val="%1."/>
      <w:lvlJc w:val="left"/>
      <w:pPr>
        <w:tabs>
          <w:tab w:val="left" w:pos="851"/>
        </w:tabs>
        <w:ind w:left="851" w:hanging="851"/>
      </w:pPr>
      <w:rPr>
        <w:rFonts w:hint="eastAsia" w:eastAsia="宋体"/>
        <w:b/>
        <w:i w:val="0"/>
        <w:sz w:val="24"/>
      </w:rPr>
    </w:lvl>
    <w:lvl w:ilvl="1" w:tentative="0">
      <w:start w:val="1"/>
      <w:numFmt w:val="decimal"/>
      <w:lvlText w:val="%1.%2"/>
      <w:lvlJc w:val="left"/>
      <w:pPr>
        <w:tabs>
          <w:tab w:val="left" w:pos="851"/>
        </w:tabs>
        <w:ind w:left="851" w:hanging="851"/>
      </w:pPr>
      <w:rPr>
        <w:rFonts w:hint="eastAsia" w:eastAsia="宋体"/>
        <w:b w:val="0"/>
        <w:i w:val="0"/>
        <w:color w:val="auto"/>
        <w:sz w:val="21"/>
        <w:szCs w:val="21"/>
      </w:rPr>
    </w:lvl>
    <w:lvl w:ilvl="2" w:tentative="0">
      <w:start w:val="1"/>
      <w:numFmt w:val="decimal"/>
      <w:lvlText w:val="%1.%2.%3"/>
      <w:lvlJc w:val="left"/>
      <w:pPr>
        <w:tabs>
          <w:tab w:val="left" w:pos="720"/>
        </w:tabs>
        <w:ind w:left="720" w:hanging="720"/>
      </w:pPr>
      <w:rPr>
        <w:rFonts w:hint="eastAsia"/>
      </w:rPr>
    </w:lvl>
    <w:lvl w:ilvl="3" w:tentative="0">
      <w:start w:val="1"/>
      <w:numFmt w:val="decimal"/>
      <w:pStyle w:val="4"/>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2">
    <w:nsid w:val="2F2BD124"/>
    <w:multiLevelType w:val="singleLevel"/>
    <w:tmpl w:val="2F2BD124"/>
    <w:lvl w:ilvl="0" w:tentative="0">
      <w:start w:val="5"/>
      <w:numFmt w:val="chineseCounting"/>
      <w:suff w:val="nothing"/>
      <w:lvlText w:val="（%1）"/>
      <w:lvlJc w:val="left"/>
      <w:rPr>
        <w:rFonts w:hint="eastAsia"/>
      </w:rPr>
    </w:lvl>
  </w:abstractNum>
  <w:abstractNum w:abstractNumId="3">
    <w:nsid w:val="7D224F68"/>
    <w:multiLevelType w:val="multilevel"/>
    <w:tmpl w:val="7D224F68"/>
    <w:lvl w:ilvl="0" w:tentative="0">
      <w:start w:val="1"/>
      <w:numFmt w:val="japaneseCounting"/>
      <w:pStyle w:val="2"/>
      <w:lvlText w:val="%1、"/>
      <w:lvlJc w:val="left"/>
      <w:pPr>
        <w:tabs>
          <w:tab w:val="left" w:pos="720"/>
        </w:tabs>
        <w:ind w:left="720" w:hanging="7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6"/>
  <w:displayHorizontalDrawingGridEvery w:val="1"/>
  <w:displayVerticalDrawingGridEvery w:val="1"/>
  <w:noPunctuationKerning w:val="1"/>
  <w:characterSpacingControl w:val="compressPunctuation"/>
  <w:doNotValidateAgainstSchema/>
  <w:doNotDemarcateInvalidXml/>
  <w:hdrShapeDefaults>
    <o:shapelayout v:ext="edit">
      <o:idmap v:ext="edit" data="1"/>
    </o:shapelayout>
  </w:hdrShapeDefaults>
  <w:compat>
    <w:spaceForUL/>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ViNThiMGJmMDI5OWRiYTU1NTQ1NGM3NmQ3YWU2YTMifQ=="/>
  </w:docVars>
  <w:rsids>
    <w:rsidRoot w:val="001744CC"/>
    <w:rsid w:val="00013D3A"/>
    <w:rsid w:val="00025A81"/>
    <w:rsid w:val="00054EAC"/>
    <w:rsid w:val="00081EFC"/>
    <w:rsid w:val="000A096C"/>
    <w:rsid w:val="000E4C85"/>
    <w:rsid w:val="00116083"/>
    <w:rsid w:val="001231F3"/>
    <w:rsid w:val="00131998"/>
    <w:rsid w:val="001744CC"/>
    <w:rsid w:val="001A6C89"/>
    <w:rsid w:val="001B77B6"/>
    <w:rsid w:val="001C1088"/>
    <w:rsid w:val="001D346D"/>
    <w:rsid w:val="001F26D3"/>
    <w:rsid w:val="002234C3"/>
    <w:rsid w:val="002306F9"/>
    <w:rsid w:val="002A654E"/>
    <w:rsid w:val="002B357E"/>
    <w:rsid w:val="002B661A"/>
    <w:rsid w:val="00335826"/>
    <w:rsid w:val="00387320"/>
    <w:rsid w:val="003B0811"/>
    <w:rsid w:val="003D5EE3"/>
    <w:rsid w:val="003E154F"/>
    <w:rsid w:val="004436D8"/>
    <w:rsid w:val="0045231B"/>
    <w:rsid w:val="004E1AB8"/>
    <w:rsid w:val="00506606"/>
    <w:rsid w:val="0054353E"/>
    <w:rsid w:val="00580878"/>
    <w:rsid w:val="005F6EA6"/>
    <w:rsid w:val="00663476"/>
    <w:rsid w:val="00672F28"/>
    <w:rsid w:val="006C4DF3"/>
    <w:rsid w:val="006F5221"/>
    <w:rsid w:val="007126B1"/>
    <w:rsid w:val="007524E2"/>
    <w:rsid w:val="007631DB"/>
    <w:rsid w:val="007C0AD6"/>
    <w:rsid w:val="007F4751"/>
    <w:rsid w:val="00875E45"/>
    <w:rsid w:val="008900B4"/>
    <w:rsid w:val="008B0423"/>
    <w:rsid w:val="008B55E4"/>
    <w:rsid w:val="00902B55"/>
    <w:rsid w:val="00907D70"/>
    <w:rsid w:val="00965F8B"/>
    <w:rsid w:val="009764AA"/>
    <w:rsid w:val="009C4FD6"/>
    <w:rsid w:val="00A7687A"/>
    <w:rsid w:val="00AC0795"/>
    <w:rsid w:val="00B21720"/>
    <w:rsid w:val="00B64907"/>
    <w:rsid w:val="00B908D2"/>
    <w:rsid w:val="00BA31C7"/>
    <w:rsid w:val="00BC5615"/>
    <w:rsid w:val="00C65D22"/>
    <w:rsid w:val="00C75DB7"/>
    <w:rsid w:val="00CB1691"/>
    <w:rsid w:val="00CD288D"/>
    <w:rsid w:val="00CF519F"/>
    <w:rsid w:val="00D02B50"/>
    <w:rsid w:val="00D04AA3"/>
    <w:rsid w:val="00D61262"/>
    <w:rsid w:val="00D65E37"/>
    <w:rsid w:val="00D66791"/>
    <w:rsid w:val="00D84721"/>
    <w:rsid w:val="00E0393D"/>
    <w:rsid w:val="00E71C26"/>
    <w:rsid w:val="00EA6B1C"/>
    <w:rsid w:val="00ED604D"/>
    <w:rsid w:val="00F765F7"/>
    <w:rsid w:val="00F83C39"/>
    <w:rsid w:val="00FA5D9B"/>
    <w:rsid w:val="00FB44B4"/>
    <w:rsid w:val="02180987"/>
    <w:rsid w:val="03892D22"/>
    <w:rsid w:val="042D70A0"/>
    <w:rsid w:val="04D02C62"/>
    <w:rsid w:val="05093C57"/>
    <w:rsid w:val="065E2545"/>
    <w:rsid w:val="07EB7AEE"/>
    <w:rsid w:val="08411F5C"/>
    <w:rsid w:val="09EA2D5B"/>
    <w:rsid w:val="0B3C78BE"/>
    <w:rsid w:val="0DFE0EFF"/>
    <w:rsid w:val="0E2D784D"/>
    <w:rsid w:val="0EE031B4"/>
    <w:rsid w:val="0FC53407"/>
    <w:rsid w:val="10A6037A"/>
    <w:rsid w:val="118178B9"/>
    <w:rsid w:val="121518B5"/>
    <w:rsid w:val="150710A1"/>
    <w:rsid w:val="15412F8E"/>
    <w:rsid w:val="164F59A1"/>
    <w:rsid w:val="17CD787F"/>
    <w:rsid w:val="1815059C"/>
    <w:rsid w:val="1917442A"/>
    <w:rsid w:val="19DB73C1"/>
    <w:rsid w:val="1C6F7D1D"/>
    <w:rsid w:val="1D5B361A"/>
    <w:rsid w:val="1D8F28B5"/>
    <w:rsid w:val="1E4F6005"/>
    <w:rsid w:val="1FDD1E8C"/>
    <w:rsid w:val="20523A8F"/>
    <w:rsid w:val="21357652"/>
    <w:rsid w:val="21C45FAF"/>
    <w:rsid w:val="22964F60"/>
    <w:rsid w:val="231B0394"/>
    <w:rsid w:val="233212C4"/>
    <w:rsid w:val="23B9687B"/>
    <w:rsid w:val="251F7E6D"/>
    <w:rsid w:val="25733B02"/>
    <w:rsid w:val="261F1D34"/>
    <w:rsid w:val="27CF1BDE"/>
    <w:rsid w:val="287148B2"/>
    <w:rsid w:val="29330A08"/>
    <w:rsid w:val="2A176CF7"/>
    <w:rsid w:val="2A183288"/>
    <w:rsid w:val="2ADA743F"/>
    <w:rsid w:val="2B8F0532"/>
    <w:rsid w:val="2D304A2B"/>
    <w:rsid w:val="311F2674"/>
    <w:rsid w:val="31E96A70"/>
    <w:rsid w:val="336A05A5"/>
    <w:rsid w:val="34356A29"/>
    <w:rsid w:val="34B352BF"/>
    <w:rsid w:val="35256E70"/>
    <w:rsid w:val="35814911"/>
    <w:rsid w:val="35A55CE3"/>
    <w:rsid w:val="36F62441"/>
    <w:rsid w:val="37373DDE"/>
    <w:rsid w:val="380B1CF5"/>
    <w:rsid w:val="380C5072"/>
    <w:rsid w:val="38965F4A"/>
    <w:rsid w:val="392B0369"/>
    <w:rsid w:val="3C515154"/>
    <w:rsid w:val="3D1203A7"/>
    <w:rsid w:val="3E0A7875"/>
    <w:rsid w:val="3E170988"/>
    <w:rsid w:val="3F0009FD"/>
    <w:rsid w:val="3F3E34CE"/>
    <w:rsid w:val="40912C42"/>
    <w:rsid w:val="41164CB1"/>
    <w:rsid w:val="428F2800"/>
    <w:rsid w:val="42FD2E55"/>
    <w:rsid w:val="433443A7"/>
    <w:rsid w:val="44356766"/>
    <w:rsid w:val="44882A2F"/>
    <w:rsid w:val="44D51919"/>
    <w:rsid w:val="450023EF"/>
    <w:rsid w:val="45440772"/>
    <w:rsid w:val="46262CD0"/>
    <w:rsid w:val="46D07AE2"/>
    <w:rsid w:val="48D22137"/>
    <w:rsid w:val="48DF3F57"/>
    <w:rsid w:val="497C2055"/>
    <w:rsid w:val="49CA0C52"/>
    <w:rsid w:val="49DA611C"/>
    <w:rsid w:val="4B9A7C30"/>
    <w:rsid w:val="4BB3184A"/>
    <w:rsid w:val="4C33193A"/>
    <w:rsid w:val="4CC8113D"/>
    <w:rsid w:val="4CFE4139"/>
    <w:rsid w:val="4D882E24"/>
    <w:rsid w:val="4DCE319A"/>
    <w:rsid w:val="4E03731E"/>
    <w:rsid w:val="4E43598F"/>
    <w:rsid w:val="4F5C4FE6"/>
    <w:rsid w:val="4FAB0493"/>
    <w:rsid w:val="50156D65"/>
    <w:rsid w:val="508B3674"/>
    <w:rsid w:val="50D17019"/>
    <w:rsid w:val="51FA2DE2"/>
    <w:rsid w:val="520214FB"/>
    <w:rsid w:val="524079EE"/>
    <w:rsid w:val="52655E2E"/>
    <w:rsid w:val="52D8B2FD"/>
    <w:rsid w:val="535F60EB"/>
    <w:rsid w:val="53E3122C"/>
    <w:rsid w:val="542553EF"/>
    <w:rsid w:val="5478036A"/>
    <w:rsid w:val="54955C08"/>
    <w:rsid w:val="54C61B88"/>
    <w:rsid w:val="55622BF9"/>
    <w:rsid w:val="55FE3B0D"/>
    <w:rsid w:val="5634672B"/>
    <w:rsid w:val="57140193"/>
    <w:rsid w:val="573F4444"/>
    <w:rsid w:val="57A91A32"/>
    <w:rsid w:val="58404C22"/>
    <w:rsid w:val="58836646"/>
    <w:rsid w:val="59F564EC"/>
    <w:rsid w:val="5A7E693C"/>
    <w:rsid w:val="5ABF49B8"/>
    <w:rsid w:val="5D4014AB"/>
    <w:rsid w:val="5DE44A9D"/>
    <w:rsid w:val="5FC34031"/>
    <w:rsid w:val="5FF14592"/>
    <w:rsid w:val="601D0E53"/>
    <w:rsid w:val="61CE7F1F"/>
    <w:rsid w:val="62A4153E"/>
    <w:rsid w:val="63621DC0"/>
    <w:rsid w:val="645C3F7B"/>
    <w:rsid w:val="64B27226"/>
    <w:rsid w:val="65742E55"/>
    <w:rsid w:val="65AD1025"/>
    <w:rsid w:val="66362C0B"/>
    <w:rsid w:val="667B591B"/>
    <w:rsid w:val="67101FDC"/>
    <w:rsid w:val="68C61A62"/>
    <w:rsid w:val="68FE5FAF"/>
    <w:rsid w:val="69181F95"/>
    <w:rsid w:val="6B2220E7"/>
    <w:rsid w:val="6B2E09CA"/>
    <w:rsid w:val="6B354690"/>
    <w:rsid w:val="6B6C4E9E"/>
    <w:rsid w:val="6B7B5BD5"/>
    <w:rsid w:val="6B9B2B4F"/>
    <w:rsid w:val="6CE0411E"/>
    <w:rsid w:val="6D613AA9"/>
    <w:rsid w:val="6DBA5778"/>
    <w:rsid w:val="6DD564E6"/>
    <w:rsid w:val="7220374A"/>
    <w:rsid w:val="72430CCA"/>
    <w:rsid w:val="72B12D31"/>
    <w:rsid w:val="73291802"/>
    <w:rsid w:val="732B73C9"/>
    <w:rsid w:val="734B6A66"/>
    <w:rsid w:val="73F658CE"/>
    <w:rsid w:val="75CB66F3"/>
    <w:rsid w:val="762A18D9"/>
    <w:rsid w:val="76F41F66"/>
    <w:rsid w:val="77852DEA"/>
    <w:rsid w:val="77EC3362"/>
    <w:rsid w:val="77FE9E3E"/>
    <w:rsid w:val="78496522"/>
    <w:rsid w:val="7932007E"/>
    <w:rsid w:val="79401735"/>
    <w:rsid w:val="79F53245"/>
    <w:rsid w:val="7A333B78"/>
    <w:rsid w:val="7A6708F4"/>
    <w:rsid w:val="7A8A42D2"/>
    <w:rsid w:val="7B070CBF"/>
    <w:rsid w:val="7BDC1EC1"/>
    <w:rsid w:val="7C7C2102"/>
    <w:rsid w:val="7C9851AF"/>
    <w:rsid w:val="7CF60E7D"/>
    <w:rsid w:val="7D42326B"/>
    <w:rsid w:val="7DCD6A21"/>
    <w:rsid w:val="7EFD3F8D"/>
    <w:rsid w:val="7F477F75"/>
    <w:rsid w:val="7FAB5598"/>
    <w:rsid w:val="7FDF3AE4"/>
    <w:rsid w:val="9F2F17A4"/>
    <w:rsid w:val="BDB6ABED"/>
    <w:rsid w:val="BE31FBAB"/>
    <w:rsid w:val="BF6FDDBC"/>
    <w:rsid w:val="FFFD334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iPriority="99"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2">
    <w:name w:val="heading 2"/>
    <w:basedOn w:val="1"/>
    <w:next w:val="3"/>
    <w:qFormat/>
    <w:uiPriority w:val="0"/>
    <w:pPr>
      <w:keepNext/>
      <w:keepLines/>
      <w:numPr>
        <w:ilvl w:val="0"/>
        <w:numId w:val="1"/>
      </w:numPr>
      <w:spacing w:before="260" w:after="260" w:line="416" w:lineRule="auto"/>
      <w:outlineLvl w:val="1"/>
    </w:pPr>
    <w:rPr>
      <w:rFonts w:ascii="Arial" w:hAnsi="Arial" w:eastAsia="黑体"/>
      <w:b/>
      <w:sz w:val="24"/>
    </w:rPr>
  </w:style>
  <w:style w:type="paragraph" w:styleId="4">
    <w:name w:val="heading 4"/>
    <w:basedOn w:val="1"/>
    <w:next w:val="1"/>
    <w:qFormat/>
    <w:uiPriority w:val="9"/>
    <w:pPr>
      <w:keepNext/>
      <w:keepLines/>
      <w:numPr>
        <w:ilvl w:val="3"/>
        <w:numId w:val="2"/>
      </w:numPr>
      <w:spacing w:before="280" w:after="290" w:line="372" w:lineRule="auto"/>
      <w:outlineLvl w:val="3"/>
    </w:pPr>
    <w:rPr>
      <w:rFonts w:ascii="Arial" w:hAnsi="Arial" w:eastAsia="黑体"/>
      <w:b/>
      <w:bCs/>
      <w:sz w:val="28"/>
      <w:szCs w:val="28"/>
    </w:rPr>
  </w:style>
  <w:style w:type="character" w:default="1" w:styleId="15">
    <w:name w:val="Default Paragraph Font"/>
    <w:semiHidden/>
    <w:qFormat/>
    <w:uiPriority w:val="0"/>
  </w:style>
  <w:style w:type="table" w:default="1" w:styleId="13">
    <w:name w:val="Normal Table"/>
    <w:semiHidden/>
    <w:qFormat/>
    <w:uiPriority w:val="0"/>
    <w:pPr>
      <w:keepNext w:val="0"/>
      <w:keepLines w:val="0"/>
      <w:widowControl/>
      <w:suppressLineNumbers w:val="0"/>
      <w:spacing w:before="0" w:beforeAutospacing="0" w:after="0" w:afterAutospacing="0"/>
      <w:ind w:left="0" w:right="0"/>
    </w:pPr>
    <w:rPr>
      <w:rFonts w:hint="eastAsia" w:ascii="Times New Roman" w:hAnsi="Times New Roman" w:cs="Times New Roman"/>
      <w:sz w:val="20"/>
      <w:szCs w:val="20"/>
    </w:rPr>
    <w:tblPr>
      <w:tblCellMar>
        <w:top w:w="0" w:type="dxa"/>
        <w:left w:w="108" w:type="dxa"/>
        <w:bottom w:w="0" w:type="dxa"/>
        <w:right w:w="108" w:type="dxa"/>
      </w:tblCellMar>
    </w:tblPr>
  </w:style>
  <w:style w:type="paragraph" w:styleId="3">
    <w:name w:val="Normal Indent"/>
    <w:basedOn w:val="1"/>
    <w:qFormat/>
    <w:uiPriority w:val="0"/>
    <w:pPr>
      <w:ind w:firstLine="420"/>
    </w:pPr>
  </w:style>
  <w:style w:type="paragraph" w:styleId="5">
    <w:name w:val="caption"/>
    <w:basedOn w:val="1"/>
    <w:next w:val="1"/>
    <w:qFormat/>
    <w:uiPriority w:val="0"/>
    <w:pPr>
      <w:widowControl w:val="0"/>
      <w:spacing w:before="152" w:after="160" w:line="360" w:lineRule="auto"/>
      <w:jc w:val="both"/>
    </w:pPr>
    <w:rPr>
      <w:rFonts w:ascii="Arial" w:hAnsi="Arial" w:eastAsia="黑体"/>
      <w:kern w:val="2"/>
      <w:sz w:val="20"/>
    </w:rPr>
  </w:style>
  <w:style w:type="paragraph" w:styleId="6">
    <w:name w:val="annotation text"/>
    <w:basedOn w:val="1"/>
    <w:qFormat/>
    <w:uiPriority w:val="0"/>
    <w:pPr>
      <w:jc w:val="left"/>
    </w:pPr>
  </w:style>
  <w:style w:type="paragraph" w:styleId="7">
    <w:name w:val="Plain Text"/>
    <w:basedOn w:val="1"/>
    <w:qFormat/>
    <w:uiPriority w:val="99"/>
    <w:pPr>
      <w:widowControl w:val="0"/>
      <w:jc w:val="both"/>
    </w:pPr>
    <w:rPr>
      <w:rFonts w:ascii="宋体" w:hAnsi="Courier New"/>
      <w:kern w:val="2"/>
    </w:r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Body Text Indent 3"/>
    <w:basedOn w:val="1"/>
    <w:unhideWhenUsed/>
    <w:qFormat/>
    <w:uiPriority w:val="99"/>
    <w:pPr>
      <w:spacing w:after="120" w:line="360" w:lineRule="atLeast"/>
      <w:ind w:firstLine="720" w:firstLineChars="300"/>
    </w:pPr>
    <w:rPr>
      <w:sz w:val="24"/>
    </w:rPr>
  </w:style>
  <w:style w:type="paragraph" w:styleId="11">
    <w:name w:val="toc 2"/>
    <w:basedOn w:val="1"/>
    <w:next w:val="1"/>
    <w:qFormat/>
    <w:uiPriority w:val="39"/>
    <w:pPr>
      <w:ind w:left="420" w:leftChars="200"/>
    </w:pPr>
  </w:style>
  <w:style w:type="paragraph" w:styleId="12">
    <w:name w:val="Normal (Web)"/>
    <w:basedOn w:val="1"/>
    <w:unhideWhenUsed/>
    <w:qFormat/>
    <w:uiPriority w:val="99"/>
    <w:pPr>
      <w:widowControl/>
      <w:spacing w:before="100" w:beforeAutospacing="1" w:after="100" w:afterAutospacing="1"/>
      <w:jc w:val="left"/>
    </w:pPr>
    <w:rPr>
      <w:rFonts w:ascii="宋体" w:hAnsi="宋体" w:cs="宋体"/>
      <w:kern w:val="0"/>
      <w:sz w:val="24"/>
      <w:szCs w:val="24"/>
    </w:rPr>
  </w:style>
  <w:style w:type="table" w:styleId="14">
    <w:name w:val="Table Grid"/>
    <w:basedOn w:val="13"/>
    <w:qFormat/>
    <w:uiPriority w:val="5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Hyperlink"/>
    <w:unhideWhenUsed/>
    <w:qFormat/>
    <w:uiPriority w:val="99"/>
    <w:rPr>
      <w:color w:val="0000FF"/>
      <w:u w:val="single"/>
    </w:rPr>
  </w:style>
  <w:style w:type="character" w:styleId="17">
    <w:name w:val="annotation reference"/>
    <w:qFormat/>
    <w:uiPriority w:val="0"/>
    <w:rPr>
      <w:sz w:val="21"/>
      <w:szCs w:val="21"/>
    </w:rPr>
  </w:style>
  <w:style w:type="character" w:customStyle="1" w:styleId="18">
    <w:name w:val="font51"/>
    <w:qFormat/>
    <w:uiPriority w:val="0"/>
    <w:rPr>
      <w:rFonts w:hint="default" w:ascii="MingLiU" w:hAnsi="MingLiU" w:eastAsia="MingLiU" w:cs="MingLiU"/>
      <w:color w:val="FF0000"/>
      <w:sz w:val="20"/>
      <w:szCs w:val="20"/>
      <w:u w:val="none"/>
    </w:rPr>
  </w:style>
  <w:style w:type="character" w:customStyle="1" w:styleId="19">
    <w:name w:val="font31"/>
    <w:qFormat/>
    <w:uiPriority w:val="0"/>
    <w:rPr>
      <w:rFonts w:hint="default" w:ascii="Times New Roman" w:hAnsi="Times New Roman" w:cs="Times New Roman"/>
      <w:color w:val="000000"/>
      <w:sz w:val="20"/>
      <w:szCs w:val="20"/>
      <w:u w:val="none"/>
    </w:rPr>
  </w:style>
  <w:style w:type="character" w:customStyle="1" w:styleId="20">
    <w:name w:val="font21"/>
    <w:qFormat/>
    <w:uiPriority w:val="0"/>
    <w:rPr>
      <w:rFonts w:hint="eastAsia" w:ascii="宋体" w:hAnsi="宋体" w:eastAsia="宋体" w:cs="宋体"/>
      <w:color w:val="000000"/>
      <w:sz w:val="20"/>
      <w:szCs w:val="20"/>
      <w:u w:val="none"/>
    </w:rPr>
  </w:style>
  <w:style w:type="character" w:customStyle="1" w:styleId="21">
    <w:name w:val="font41"/>
    <w:qFormat/>
    <w:uiPriority w:val="0"/>
    <w:rPr>
      <w:rFonts w:hint="default" w:ascii="MingLiU" w:hAnsi="MingLiU" w:eastAsia="MingLiU" w:cs="MingLiU"/>
      <w:color w:val="000000"/>
      <w:sz w:val="20"/>
      <w:szCs w:val="20"/>
      <w:u w:val="none"/>
    </w:rPr>
  </w:style>
  <w:style w:type="character" w:customStyle="1" w:styleId="22">
    <w:name w:val="font71"/>
    <w:qFormat/>
    <w:uiPriority w:val="0"/>
    <w:rPr>
      <w:rFonts w:hint="eastAsia" w:ascii="宋体" w:hAnsi="宋体" w:eastAsia="宋体" w:cs="宋体"/>
      <w:color w:val="FF0000"/>
      <w:sz w:val="20"/>
      <w:szCs w:val="20"/>
      <w:u w:val="none"/>
    </w:rPr>
  </w:style>
  <w:style w:type="paragraph" w:customStyle="1" w:styleId="23">
    <w:name w:val="题注5"/>
    <w:basedOn w:val="1"/>
    <w:next w:val="5"/>
    <w:qFormat/>
    <w:uiPriority w:val="0"/>
    <w:pPr>
      <w:widowControl w:val="0"/>
      <w:jc w:val="center"/>
    </w:pPr>
    <w:rPr>
      <w:b/>
      <w:color w:val="000000"/>
      <w:kern w:val="2"/>
      <w:sz w:val="24"/>
      <w:szCs w:val="21"/>
    </w:rPr>
  </w:style>
  <w:style w:type="paragraph" w:customStyle="1" w:styleId="24">
    <w:name w:val="正文_2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5">
    <w:name w:val="题注4"/>
    <w:basedOn w:val="1"/>
    <w:next w:val="5"/>
    <w:qFormat/>
    <w:uiPriority w:val="0"/>
    <w:pPr>
      <w:widowControl w:val="0"/>
      <w:ind w:left="-132" w:leftChars="-64" w:rightChars="-50" w:hanging="2"/>
      <w:jc w:val="center"/>
    </w:pPr>
    <w:rPr>
      <w:b/>
      <w:color w:val="FF0000"/>
      <w:kern w:val="2"/>
      <w:lang w:val="en-GB"/>
    </w:rPr>
  </w:style>
  <w:style w:type="paragraph" w:customStyle="1" w:styleId="26">
    <w:name w:val="表格文字"/>
    <w:basedOn w:val="1"/>
    <w:qFormat/>
    <w:uiPriority w:val="0"/>
    <w:pPr>
      <w:spacing w:before="25" w:beforeLines="0" w:after="25" w:afterLines="0"/>
      <w:jc w:val="left"/>
    </w:pPr>
    <w:rPr>
      <w:bCs/>
      <w:spacing w:val="10"/>
      <w:kern w:val="0"/>
      <w:sz w:val="24"/>
      <w:szCs w:val="20"/>
    </w:rPr>
  </w:style>
  <w:style w:type="character" w:customStyle="1" w:styleId="27">
    <w:name w:val="NormalCharacter"/>
    <w:semiHidden/>
    <w:qFormat/>
    <w:uiPriority w:val="0"/>
  </w:style>
  <w:style w:type="character" w:customStyle="1" w:styleId="28">
    <w:name w:val="UserStyle_0"/>
    <w:semiHidden/>
    <w:qFormat/>
    <w:uiPriority w:val="0"/>
  </w:style>
  <w:style w:type="paragraph" w:customStyle="1" w:styleId="29">
    <w:name w:val="PlainText"/>
    <w:basedOn w:val="1"/>
    <w:qFormat/>
    <w:uiPriority w:val="0"/>
    <w:pPr>
      <w:widowControl/>
      <w:textAlignment w:val="baseline"/>
    </w:pPr>
    <w:rPr>
      <w:rFonts w:ascii="宋体" w:hAnsi="Courier New" w:cs="Times New Roman"/>
      <w:szCs w:val="20"/>
    </w:rPr>
  </w:style>
  <w:style w:type="paragraph" w:customStyle="1" w:styleId="30">
    <w:name w:val="UserStyle_1"/>
    <w:basedOn w:val="1"/>
    <w:qFormat/>
    <w:uiPriority w:val="0"/>
    <w:pPr>
      <w:widowControl/>
      <w:textAlignment w:val="baseline"/>
    </w:pPr>
    <w:rPr>
      <w:rFonts w:ascii="宋体" w:hAnsi="Courier New" w:cs="Times New Roman"/>
      <w:szCs w:val="20"/>
    </w:rPr>
  </w:style>
  <w:style w:type="paragraph" w:customStyle="1" w:styleId="31">
    <w:name w:val="附件"/>
    <w:basedOn w:val="1"/>
    <w:qFormat/>
    <w:uiPriority w:val="0"/>
    <w:pPr>
      <w:spacing w:line="360" w:lineRule="auto"/>
    </w:pPr>
    <w:rPr>
      <w:rFonts w:hint="eastAsia" w:ascii="仿宋" w:hAnsi="仿宋" w:cs="仿宋"/>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2.xml"/><Relationship Id="rId33" Type="http://schemas.openxmlformats.org/officeDocument/2006/relationships/fontTable" Target="fontTable.xml"/><Relationship Id="rId32" Type="http://schemas.openxmlformats.org/officeDocument/2006/relationships/numbering" Target="numbering.xml"/><Relationship Id="rId31" Type="http://schemas.openxmlformats.org/officeDocument/2006/relationships/customXml" Target="../customXml/item1.xml"/><Relationship Id="rId30" Type="http://schemas.openxmlformats.org/officeDocument/2006/relationships/image" Target="media/image25.jpeg"/><Relationship Id="rId3" Type="http://schemas.openxmlformats.org/officeDocument/2006/relationships/footer" Target="foot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user</Company>
  <Pages>30</Pages>
  <Words>890</Words>
  <Characters>908</Characters>
  <Lines>57</Lines>
  <Paragraphs>16</Paragraphs>
  <TotalTime>0</TotalTime>
  <ScaleCrop>false</ScaleCrop>
  <LinksUpToDate>false</LinksUpToDate>
  <CharactersWithSpaces>957</CharactersWithSpaces>
  <Application>WPS Office_12.1.0.15374_F1E327BC-269C-435d-A152-05C5408002CA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2014-10-30T04:08:00Z</dcterms:created>
  <dc:creator>pc</dc:creator>
  <cp:lastModifiedBy>招标二部</cp:lastModifiedBy>
  <cp:lastPrinted>2023-10-08T23:23:00Z</cp:lastPrinted>
  <dcterms:modified xsi:type="dcterms:W3CDTF">2023-10-09T08:32:12Z</dcterms:modified>
  <dc:title>电子版</dc:title>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873603351A08450EA651237430EE8868</vt:lpwstr>
  </property>
</Properties>
</file>